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9870" w14:textId="3FF71C9A" w:rsidR="00C40520" w:rsidRDefault="001B70C4" w:rsidP="001B70C4">
      <w:pPr>
        <w:jc w:val="center"/>
      </w:pPr>
      <w:r>
        <w:t xml:space="preserve">AXES DE PROGRES – </w:t>
      </w:r>
      <w:r w:rsidR="00535C4A">
        <w:t xml:space="preserve">Illustrations et exemples d’objectifs </w:t>
      </w:r>
      <w:r w:rsidR="00F921E1">
        <w:t>en lien avec l’axe repéré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073"/>
        <w:gridCol w:w="5267"/>
      </w:tblGrid>
      <w:tr w:rsidR="001B70C4" w14:paraId="73FDA5F0" w14:textId="77777777" w:rsidTr="0079334B">
        <w:tc>
          <w:tcPr>
            <w:tcW w:w="3256" w:type="dxa"/>
          </w:tcPr>
          <w:p w14:paraId="1DA611E4" w14:textId="7A506FD9" w:rsidR="001B70C4" w:rsidRDefault="001B70C4" w:rsidP="001B70C4">
            <w:pPr>
              <w:jc w:val="center"/>
            </w:pPr>
            <w:r>
              <w:t>AXES</w:t>
            </w:r>
          </w:p>
        </w:tc>
        <w:tc>
          <w:tcPr>
            <w:tcW w:w="6073" w:type="dxa"/>
          </w:tcPr>
          <w:p w14:paraId="070924C9" w14:textId="7ADFDEB3" w:rsidR="001B70C4" w:rsidRDefault="001B70C4" w:rsidP="001B70C4">
            <w:pPr>
              <w:jc w:val="center"/>
            </w:pPr>
            <w:r>
              <w:t>ILLUSTRATIONS</w:t>
            </w:r>
          </w:p>
        </w:tc>
        <w:tc>
          <w:tcPr>
            <w:tcW w:w="5267" w:type="dxa"/>
          </w:tcPr>
          <w:p w14:paraId="04D4D50A" w14:textId="084280B6" w:rsidR="001B70C4" w:rsidRDefault="001B70C4" w:rsidP="001B70C4">
            <w:pPr>
              <w:jc w:val="center"/>
            </w:pPr>
            <w:r>
              <w:t>EXEMPLES D’OBJECTIFS FORMALISES</w:t>
            </w:r>
          </w:p>
        </w:tc>
      </w:tr>
      <w:tr w:rsidR="001B70C4" w14:paraId="33F9B761" w14:textId="77777777" w:rsidTr="0079334B">
        <w:tc>
          <w:tcPr>
            <w:tcW w:w="3256" w:type="dxa"/>
          </w:tcPr>
          <w:p w14:paraId="23655519" w14:textId="77777777" w:rsidR="00B0321D" w:rsidRDefault="00B0321D" w:rsidP="00B0321D">
            <w:pPr>
              <w:jc w:val="center"/>
            </w:pPr>
          </w:p>
          <w:p w14:paraId="64D3E910" w14:textId="309A1D5D" w:rsidR="001B70C4" w:rsidRDefault="001B70C4" w:rsidP="00B0321D">
            <w:pPr>
              <w:jc w:val="center"/>
            </w:pPr>
            <w:r>
              <w:t>SANTE</w:t>
            </w:r>
          </w:p>
        </w:tc>
        <w:tc>
          <w:tcPr>
            <w:tcW w:w="6073" w:type="dxa"/>
          </w:tcPr>
          <w:p w14:paraId="30A0F4D6" w14:textId="29DC0356" w:rsidR="001B70C4" w:rsidRDefault="001B70C4" w:rsidP="009B5E74">
            <w:pPr>
              <w:jc w:val="center"/>
            </w:pPr>
            <w:r>
              <w:t>Problématiques de santé</w:t>
            </w:r>
            <w:r w:rsidR="001943D5">
              <w:t xml:space="preserve"> physique, psychique, pathologies lourdes, fragilité psychologique, addictions...</w:t>
            </w:r>
            <w:r w:rsidR="001E7AF0">
              <w:t xml:space="preserve"> qui entravent</w:t>
            </w:r>
            <w:r>
              <w:t xml:space="preserve"> </w:t>
            </w:r>
            <w:r w:rsidR="00B0321D">
              <w:t xml:space="preserve">la progression et </w:t>
            </w:r>
            <w:r>
              <w:t>l’atteinte de l’objectif du parcours.</w:t>
            </w:r>
          </w:p>
        </w:tc>
        <w:tc>
          <w:tcPr>
            <w:tcW w:w="5267" w:type="dxa"/>
          </w:tcPr>
          <w:p w14:paraId="38D183C9" w14:textId="2675C5B7" w:rsidR="001B70C4" w:rsidRDefault="001B70C4" w:rsidP="001B70C4">
            <w:r>
              <w:t xml:space="preserve">-Mettre en place un accompagnement spécifique (CSAPA / SAVS…).  </w:t>
            </w:r>
            <w:r w:rsidR="000B633A" w:rsidRPr="000B633A">
              <w:rPr>
                <w:color w:val="ED7D31" w:themeColor="accent2"/>
              </w:rPr>
              <w:t xml:space="preserve">Bilan IRSA </w:t>
            </w:r>
            <w:r w:rsidR="000B633A">
              <w:rPr>
                <w:color w:val="ED7D31" w:themeColor="accent2"/>
              </w:rPr>
              <w:t>, suivi CMP , Soutien AEP …, Prestation d’appui spécifique…</w:t>
            </w:r>
          </w:p>
          <w:p w14:paraId="3103BB06" w14:textId="204B0984" w:rsidR="001B70C4" w:rsidRDefault="001B70C4" w:rsidP="001B70C4">
            <w:r>
              <w:t>-Réaliser une démarche RQTH ou AAH</w:t>
            </w:r>
          </w:p>
          <w:p w14:paraId="79B8D8DA" w14:textId="33D275DF" w:rsidR="001E7AF0" w:rsidRDefault="001E7AF0" w:rsidP="001B70C4">
            <w:r>
              <w:t>-Engager un parcours de soins…</w:t>
            </w:r>
          </w:p>
          <w:p w14:paraId="29DD9068" w14:textId="7B26C690" w:rsidR="001B70C4" w:rsidRDefault="000B633A" w:rsidP="000866A3">
            <w:r>
              <w:t xml:space="preserve">- </w:t>
            </w:r>
            <w:r w:rsidR="000866A3">
              <w:rPr>
                <w:color w:val="ED7D31" w:themeColor="accent2"/>
              </w:rPr>
              <w:t>Bénéficier d’</w:t>
            </w:r>
            <w:r w:rsidRPr="000B633A">
              <w:rPr>
                <w:color w:val="ED7D31" w:themeColor="accent2"/>
              </w:rPr>
              <w:t xml:space="preserve">un autre dispositif </w:t>
            </w:r>
            <w:r w:rsidR="000866A3">
              <w:rPr>
                <w:color w:val="ED7D31" w:themeColor="accent2"/>
              </w:rPr>
              <w:t xml:space="preserve">plus adapté à la situation santé ( ex : parcours emploi santé) </w:t>
            </w:r>
          </w:p>
        </w:tc>
      </w:tr>
      <w:tr w:rsidR="001B70C4" w14:paraId="5D962DEA" w14:textId="77777777" w:rsidTr="0079334B">
        <w:tc>
          <w:tcPr>
            <w:tcW w:w="3256" w:type="dxa"/>
          </w:tcPr>
          <w:p w14:paraId="7DA87000" w14:textId="77777777" w:rsidR="004E661B" w:rsidRDefault="004E661B" w:rsidP="001B70C4">
            <w:pPr>
              <w:jc w:val="center"/>
            </w:pPr>
          </w:p>
          <w:p w14:paraId="6DC3CEFB" w14:textId="77777777" w:rsidR="004E661B" w:rsidRDefault="004E661B" w:rsidP="001B70C4">
            <w:pPr>
              <w:jc w:val="center"/>
            </w:pPr>
          </w:p>
          <w:p w14:paraId="0DFCD6AA" w14:textId="41DD9C59" w:rsidR="001B70C4" w:rsidRDefault="009F1161" w:rsidP="001B70C4">
            <w:pPr>
              <w:jc w:val="center"/>
            </w:pPr>
            <w:r>
              <w:t>SITUATION FAMILIALE</w:t>
            </w:r>
          </w:p>
        </w:tc>
        <w:tc>
          <w:tcPr>
            <w:tcW w:w="6073" w:type="dxa"/>
          </w:tcPr>
          <w:p w14:paraId="538A8677" w14:textId="1F442997" w:rsidR="007C24BD" w:rsidRPr="000B633A" w:rsidRDefault="007C24BD" w:rsidP="007C24BD">
            <w:pPr>
              <w:spacing w:after="120"/>
              <w:jc w:val="center"/>
              <w:rPr>
                <w:rFonts w:ascii="Calibri" w:eastAsia="Times New Roman" w:hAnsi="Calibri" w:cs="Times New Roman"/>
                <w:color w:val="ED7D31" w:themeColor="accent2"/>
                <w:lang w:eastAsia="fr-FR"/>
              </w:rPr>
            </w:pPr>
            <w:r w:rsidRPr="007C24BD">
              <w:rPr>
                <w:rFonts w:ascii="Calibri" w:eastAsia="Times New Roman" w:hAnsi="Calibri" w:cs="Times New Roman"/>
                <w:lang w:eastAsia="fr-FR"/>
              </w:rPr>
              <w:t>Pour les situations des aidants familiaux non reconnus comme tels, les situations de séparation / divorce, les situations de prise en charge des enfants dans le cadre de mesures éducatives, les prises en charges médicales récurrentes pour un membre de la famille…</w:t>
            </w:r>
            <w:r w:rsidR="000B633A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B633A">
              <w:rPr>
                <w:rFonts w:ascii="Calibri" w:eastAsia="Times New Roman" w:hAnsi="Calibri" w:cs="Times New Roman"/>
                <w:color w:val="ED7D31" w:themeColor="accent2"/>
                <w:lang w:eastAsia="fr-FR"/>
              </w:rPr>
              <w:t>L</w:t>
            </w:r>
            <w:r w:rsidR="000B633A" w:rsidRPr="000B633A">
              <w:rPr>
                <w:rFonts w:ascii="Calibri" w:eastAsia="Times New Roman" w:hAnsi="Calibri" w:cs="Times New Roman"/>
                <w:color w:val="ED7D31" w:themeColor="accent2"/>
                <w:lang w:eastAsia="fr-FR"/>
              </w:rPr>
              <w:t>es sorties de territoire pour raisons familiales</w:t>
            </w:r>
            <w:r w:rsidR="002B5F66">
              <w:rPr>
                <w:rFonts w:ascii="Calibri" w:eastAsia="Times New Roman" w:hAnsi="Calibri" w:cs="Times New Roman"/>
                <w:color w:val="ED7D31" w:themeColor="accent2"/>
                <w:lang w:eastAsia="fr-FR"/>
              </w:rPr>
              <w:t xml:space="preserve"> (si de longue durée</w:t>
            </w:r>
            <w:r w:rsidR="00DF6C4F">
              <w:rPr>
                <w:rFonts w:ascii="Calibri" w:eastAsia="Times New Roman" w:hAnsi="Calibri" w:cs="Times New Roman"/>
                <w:color w:val="ED7D31" w:themeColor="accent2"/>
                <w:lang w:eastAsia="fr-FR"/>
              </w:rPr>
              <w:t xml:space="preserve"> ou récurrence</w:t>
            </w:r>
            <w:r w:rsidR="002B5F66">
              <w:rPr>
                <w:rFonts w:ascii="Calibri" w:eastAsia="Times New Roman" w:hAnsi="Calibri" w:cs="Times New Roman"/>
                <w:color w:val="ED7D31" w:themeColor="accent2"/>
                <w:lang w:eastAsia="fr-FR"/>
              </w:rPr>
              <w:t>)</w:t>
            </w:r>
          </w:p>
          <w:p w14:paraId="37C3E3BE" w14:textId="77777777" w:rsidR="001B70C4" w:rsidRDefault="001B70C4" w:rsidP="007C24BD">
            <w:pPr>
              <w:jc w:val="center"/>
            </w:pPr>
          </w:p>
        </w:tc>
        <w:tc>
          <w:tcPr>
            <w:tcW w:w="5267" w:type="dxa"/>
          </w:tcPr>
          <w:p w14:paraId="720B7EF4" w14:textId="77777777" w:rsidR="00DF6E0F" w:rsidRDefault="00DF6E0F" w:rsidP="00DF6E0F">
            <w:r>
              <w:t>-</w:t>
            </w:r>
            <w:r w:rsidR="00E96E68">
              <w:t>Définir les temps personnels permettant de travailler sur le projet professionnel</w:t>
            </w:r>
            <w:r>
              <w:t>.</w:t>
            </w:r>
          </w:p>
          <w:p w14:paraId="06E49092" w14:textId="5CF4AD5A" w:rsidR="005F4F0D" w:rsidRDefault="00DC6EE5" w:rsidP="00DF6E0F">
            <w:r>
              <w:t xml:space="preserve">- Réaliser une </w:t>
            </w:r>
            <w:r w:rsidR="00E96E68">
              <w:t xml:space="preserve">démarche MJD </w:t>
            </w:r>
            <w:r>
              <w:t>(</w:t>
            </w:r>
            <w:r w:rsidR="00E96E68">
              <w:t>pour les cas de séparation</w:t>
            </w:r>
            <w:r w:rsidR="003C08BF">
              <w:t>/divorce</w:t>
            </w:r>
            <w:r w:rsidR="005F4F0D">
              <w:t>).</w:t>
            </w:r>
          </w:p>
          <w:p w14:paraId="7104BB66" w14:textId="7801C074" w:rsidR="001B70C4" w:rsidRDefault="005F4F0D" w:rsidP="00DF6E0F">
            <w:r>
              <w:t xml:space="preserve">- Réaliser les </w:t>
            </w:r>
            <w:r w:rsidR="00E96E68">
              <w:t xml:space="preserve">démarches </w:t>
            </w:r>
            <w:r>
              <w:t>auprès du CLIC</w:t>
            </w:r>
            <w:r w:rsidR="004C0578">
              <w:t>, structure d’aide à domicile</w:t>
            </w:r>
            <w:r w:rsidR="003C08BF">
              <w:t>… (</w:t>
            </w:r>
            <w:r w:rsidR="0051620A">
              <w:t xml:space="preserve">démarche de soutien pour un parent </w:t>
            </w:r>
            <w:r w:rsidR="006454DD">
              <w:t>âgé) …</w:t>
            </w:r>
          </w:p>
        </w:tc>
      </w:tr>
      <w:tr w:rsidR="001B70C4" w14:paraId="427301DD" w14:textId="77777777" w:rsidTr="0079334B">
        <w:tc>
          <w:tcPr>
            <w:tcW w:w="3256" w:type="dxa"/>
          </w:tcPr>
          <w:p w14:paraId="6E941AD0" w14:textId="77777777" w:rsidR="004E661B" w:rsidRDefault="004E661B" w:rsidP="001B70C4">
            <w:pPr>
              <w:jc w:val="center"/>
            </w:pPr>
          </w:p>
          <w:p w14:paraId="1449859C" w14:textId="77777777" w:rsidR="004E661B" w:rsidRDefault="004E661B" w:rsidP="001B70C4">
            <w:pPr>
              <w:jc w:val="center"/>
            </w:pPr>
          </w:p>
          <w:p w14:paraId="656C5F91" w14:textId="42D58484" w:rsidR="001B70C4" w:rsidRDefault="000808B1" w:rsidP="001B70C4">
            <w:pPr>
              <w:jc w:val="center"/>
            </w:pPr>
            <w:r>
              <w:t>GARDE D’ENFANTS</w:t>
            </w:r>
          </w:p>
        </w:tc>
        <w:tc>
          <w:tcPr>
            <w:tcW w:w="6073" w:type="dxa"/>
          </w:tcPr>
          <w:p w14:paraId="1BDCF891" w14:textId="1FAA4A64" w:rsidR="004B252C" w:rsidRDefault="004B252C" w:rsidP="004B252C">
            <w:pPr>
              <w:jc w:val="center"/>
            </w:pPr>
            <w:r>
              <w:t>Le fait d’avoir des enfants à charge entame la</w:t>
            </w:r>
          </w:p>
          <w:p w14:paraId="612D2ABA" w14:textId="75D95513" w:rsidR="003B22C6" w:rsidRDefault="004B252C" w:rsidP="003B22C6">
            <w:pPr>
              <w:jc w:val="center"/>
            </w:pPr>
            <w:r>
              <w:t>disponibilité pour la vie professionnelle</w:t>
            </w:r>
            <w:r w:rsidR="007D3416">
              <w:t> :</w:t>
            </w:r>
            <w:r w:rsidR="006E5025">
              <w:t xml:space="preserve"> Pas de mode de garde pour enfant non scolarisé, pas de mode de garde périscolaire, </w:t>
            </w:r>
            <w:r w:rsidR="00A81C2E">
              <w:t xml:space="preserve">méconnaissance des aides </w:t>
            </w:r>
            <w:r w:rsidR="003B22C6">
              <w:t>mobilisables, enfants</w:t>
            </w:r>
          </w:p>
          <w:p w14:paraId="609AEE84" w14:textId="77777777" w:rsidR="001B70C4" w:rsidRDefault="003B22C6" w:rsidP="003B22C6">
            <w:pPr>
              <w:jc w:val="center"/>
            </w:pPr>
            <w:r>
              <w:t xml:space="preserve">ayant besoin de suivis médicaux, paramédicaux réguliers, </w:t>
            </w:r>
            <w:r w:rsidR="00C87366">
              <w:t>difficulté à confier son enfant…</w:t>
            </w:r>
          </w:p>
          <w:p w14:paraId="099B3DA8" w14:textId="66442DB9" w:rsidR="00304042" w:rsidRDefault="00304042" w:rsidP="003B22C6">
            <w:pPr>
              <w:jc w:val="center"/>
            </w:pPr>
          </w:p>
        </w:tc>
        <w:tc>
          <w:tcPr>
            <w:tcW w:w="5267" w:type="dxa"/>
          </w:tcPr>
          <w:p w14:paraId="0755BB71" w14:textId="77777777" w:rsidR="00225AAB" w:rsidRDefault="00225AAB" w:rsidP="00225AAB">
            <w:r>
              <w:t>-Prendre contact avec un lieu d’accueil.</w:t>
            </w:r>
          </w:p>
          <w:p w14:paraId="44ADBAF1" w14:textId="1BA495ED" w:rsidR="001B70C4" w:rsidRDefault="004C2204" w:rsidP="004C2204">
            <w:r>
              <w:t>-Prendre les informations sur les aides (CCAS, CMS, AS</w:t>
            </w:r>
            <w:r w:rsidR="006F25C6">
              <w:t>, CAF…</w:t>
            </w:r>
            <w:r w:rsidR="00165784" w:rsidRPr="00165784">
              <w:rPr>
                <w:color w:val="ED7D31" w:themeColor="accent2"/>
              </w:rPr>
              <w:t>relais des assistantes maternelles</w:t>
            </w:r>
            <w:r w:rsidR="006F25C6">
              <w:t>)</w:t>
            </w:r>
          </w:p>
          <w:p w14:paraId="239912CD" w14:textId="4DB21A74" w:rsidR="006F25C6" w:rsidRDefault="006F25C6" w:rsidP="004C2204"/>
        </w:tc>
      </w:tr>
      <w:tr w:rsidR="001B70C4" w14:paraId="3EE9A2C1" w14:textId="77777777" w:rsidTr="0079334B">
        <w:tc>
          <w:tcPr>
            <w:tcW w:w="3256" w:type="dxa"/>
          </w:tcPr>
          <w:p w14:paraId="453DAFE1" w14:textId="77777777" w:rsidR="004E661B" w:rsidRDefault="004E661B" w:rsidP="001B70C4">
            <w:pPr>
              <w:jc w:val="center"/>
            </w:pPr>
          </w:p>
          <w:p w14:paraId="5AD68EB9" w14:textId="77777777" w:rsidR="004E661B" w:rsidRDefault="004E661B" w:rsidP="001B70C4">
            <w:pPr>
              <w:jc w:val="center"/>
            </w:pPr>
          </w:p>
          <w:p w14:paraId="511B4863" w14:textId="6A9114C4" w:rsidR="001B70C4" w:rsidRDefault="000808B1" w:rsidP="001B70C4">
            <w:pPr>
              <w:jc w:val="center"/>
            </w:pPr>
            <w:r>
              <w:t>LOGEMENT</w:t>
            </w:r>
          </w:p>
        </w:tc>
        <w:tc>
          <w:tcPr>
            <w:tcW w:w="6073" w:type="dxa"/>
          </w:tcPr>
          <w:p w14:paraId="1FC464B1" w14:textId="77777777" w:rsidR="001B70C4" w:rsidRDefault="00C45175" w:rsidP="001B70C4">
            <w:pPr>
              <w:jc w:val="center"/>
            </w:pPr>
            <w:r w:rsidRPr="00C45175">
              <w:t>Les problématiques de logement se posent à différents niveaux</w:t>
            </w:r>
            <w:r w:rsidR="002C10D0">
              <w:t xml:space="preserve"> : Pour certains l’enjeu est d’avoir un toit sur la tête, pour d’autres </w:t>
            </w:r>
            <w:r w:rsidR="00947FBD">
              <w:t xml:space="preserve">c’est d’avoir une solution de logement décent, </w:t>
            </w:r>
            <w:r w:rsidR="003142DA">
              <w:t>pérenne</w:t>
            </w:r>
            <w:r w:rsidR="00947FBD">
              <w:t xml:space="preserve"> (logé </w:t>
            </w:r>
            <w:r w:rsidR="003142DA">
              <w:t xml:space="preserve">provisoirement chez des tiers, logement insalubre, </w:t>
            </w:r>
            <w:r w:rsidR="002155DD">
              <w:t>menace d’</w:t>
            </w:r>
            <w:r w:rsidR="003142DA">
              <w:t>expulsion</w:t>
            </w:r>
            <w:r w:rsidR="00ED2ECC">
              <w:t>, insécurité, nuisances</w:t>
            </w:r>
            <w:r w:rsidR="003142DA">
              <w:t>…)</w:t>
            </w:r>
          </w:p>
          <w:p w14:paraId="1EB4D449" w14:textId="32BD35C4" w:rsidR="00304042" w:rsidRDefault="00304042" w:rsidP="001B70C4">
            <w:pPr>
              <w:jc w:val="center"/>
            </w:pPr>
          </w:p>
        </w:tc>
        <w:tc>
          <w:tcPr>
            <w:tcW w:w="5267" w:type="dxa"/>
          </w:tcPr>
          <w:p w14:paraId="76A0BE4E" w14:textId="6F52F696" w:rsidR="006B0331" w:rsidRPr="00165784" w:rsidRDefault="006B0331" w:rsidP="002063F3">
            <w:pPr>
              <w:rPr>
                <w:color w:val="ED7D31" w:themeColor="accent2"/>
              </w:rPr>
            </w:pPr>
            <w:r>
              <w:t>-</w:t>
            </w:r>
            <w:r w:rsidR="002063F3">
              <w:t>Mettre en œuvre un accompagnement au logement</w:t>
            </w:r>
            <w:r w:rsidR="00165784">
              <w:t xml:space="preserve"> (</w:t>
            </w:r>
            <w:r w:rsidR="00165784" w:rsidRPr="00165784">
              <w:rPr>
                <w:color w:val="ED7D31" w:themeColor="accent2"/>
              </w:rPr>
              <w:t>CCAS service logement, CAPS logement, accompagnement LOIKOS</w:t>
            </w:r>
            <w:r w:rsidR="0035581A">
              <w:rPr>
                <w:color w:val="ED7D31" w:themeColor="accent2"/>
              </w:rPr>
              <w:t>, ASLL</w:t>
            </w:r>
            <w:r w:rsidR="00165784" w:rsidRPr="00165784">
              <w:rPr>
                <w:color w:val="ED7D31" w:themeColor="accent2"/>
              </w:rPr>
              <w:t xml:space="preserve"> ….</w:t>
            </w:r>
          </w:p>
          <w:p w14:paraId="506F2657" w14:textId="0A72F9FC" w:rsidR="006B0331" w:rsidRDefault="006B0331" w:rsidP="002063F3">
            <w:r>
              <w:t>-R</w:t>
            </w:r>
            <w:r w:rsidR="002063F3">
              <w:t>éaliser une demande de logement</w:t>
            </w:r>
            <w:r>
              <w:t>.</w:t>
            </w:r>
          </w:p>
          <w:p w14:paraId="427042FE" w14:textId="55DAB53D" w:rsidR="002063F3" w:rsidRPr="00144499" w:rsidRDefault="006B0331" w:rsidP="002063F3">
            <w:r>
              <w:t xml:space="preserve">-Réaliser une </w:t>
            </w:r>
            <w:r w:rsidR="002063F3">
              <w:t>démarche de MJD pour problèmes de conciliation locative / voisinage …</w:t>
            </w:r>
          </w:p>
          <w:p w14:paraId="1A40B197" w14:textId="77777777" w:rsidR="001B70C4" w:rsidRDefault="001B70C4" w:rsidP="001B70C4">
            <w:pPr>
              <w:jc w:val="center"/>
            </w:pPr>
          </w:p>
        </w:tc>
      </w:tr>
      <w:tr w:rsidR="001B70C4" w14:paraId="480A342E" w14:textId="77777777" w:rsidTr="0079334B">
        <w:tc>
          <w:tcPr>
            <w:tcW w:w="3256" w:type="dxa"/>
          </w:tcPr>
          <w:p w14:paraId="2DAC77B5" w14:textId="77777777" w:rsidR="004E661B" w:rsidRDefault="004E661B" w:rsidP="001B70C4">
            <w:pPr>
              <w:jc w:val="center"/>
            </w:pPr>
          </w:p>
          <w:p w14:paraId="60E93CA1" w14:textId="77777777" w:rsidR="004E661B" w:rsidRDefault="004E661B" w:rsidP="001B70C4">
            <w:pPr>
              <w:jc w:val="center"/>
            </w:pPr>
          </w:p>
          <w:p w14:paraId="2415A918" w14:textId="4C7934BE" w:rsidR="001B70C4" w:rsidRDefault="000808B1" w:rsidP="001B70C4">
            <w:pPr>
              <w:jc w:val="center"/>
            </w:pPr>
            <w:r>
              <w:t>CONFIANCE EN SOI</w:t>
            </w:r>
          </w:p>
        </w:tc>
        <w:tc>
          <w:tcPr>
            <w:tcW w:w="6073" w:type="dxa"/>
          </w:tcPr>
          <w:p w14:paraId="2282E50D" w14:textId="77777777" w:rsidR="001B70C4" w:rsidRDefault="00F052B0" w:rsidP="001B70C4">
            <w:pPr>
              <w:jc w:val="center"/>
            </w:pPr>
            <w:r>
              <w:t xml:space="preserve">L’absence ou le manque de confiance en soi est multifactoriel : </w:t>
            </w:r>
            <w:r w:rsidR="004E0EBC">
              <w:t xml:space="preserve">l’histoire personnelle, la zone de confort, </w:t>
            </w:r>
            <w:r w:rsidR="00D16BD8">
              <w:t>le regard des autres, les échecs</w:t>
            </w:r>
            <w:r w:rsidR="00E05CAC">
              <w:t>, les croyances limitantes, la comparaison aux autres</w:t>
            </w:r>
            <w:r w:rsidR="000B6F88">
              <w:t>…</w:t>
            </w:r>
          </w:p>
          <w:p w14:paraId="56039BAC" w14:textId="77777777" w:rsidR="000B6F88" w:rsidRDefault="000B6F88" w:rsidP="001B70C4">
            <w:pPr>
              <w:jc w:val="center"/>
            </w:pPr>
            <w:r>
              <w:t xml:space="preserve">Le manque de confiance en soi </w:t>
            </w:r>
            <w:r w:rsidR="00212BE7">
              <w:t xml:space="preserve">génère des comportements de fuite voire </w:t>
            </w:r>
            <w:r w:rsidR="004553B5">
              <w:t>la</w:t>
            </w:r>
            <w:r w:rsidR="00212BE7">
              <w:t xml:space="preserve"> mise en échec</w:t>
            </w:r>
            <w:r w:rsidR="00FB4A0A">
              <w:t xml:space="preserve"> des étapes clé et/ou</w:t>
            </w:r>
            <w:r w:rsidR="00212BE7">
              <w:t xml:space="preserve"> </w:t>
            </w:r>
            <w:r w:rsidR="000E72C8">
              <w:t>du parcours</w:t>
            </w:r>
            <w:r w:rsidR="00FB4A0A">
              <w:t>.</w:t>
            </w:r>
          </w:p>
          <w:p w14:paraId="6E04D588" w14:textId="3106DA10" w:rsidR="00304042" w:rsidRDefault="00FD09AF" w:rsidP="001B70C4">
            <w:pPr>
              <w:jc w:val="center"/>
            </w:pPr>
            <w:r>
              <w:lastRenderedPageBreak/>
              <w:t>La mobilité psychologique qui peut entraver la mise en œuvre du parcours</w:t>
            </w:r>
          </w:p>
        </w:tc>
        <w:tc>
          <w:tcPr>
            <w:tcW w:w="5267" w:type="dxa"/>
          </w:tcPr>
          <w:p w14:paraId="69840C97" w14:textId="77777777" w:rsidR="007C24B4" w:rsidRDefault="007C24B4" w:rsidP="007C24B4">
            <w:r>
              <w:lastRenderedPageBreak/>
              <w:t>-s’exprimer au sein d’un groupe.</w:t>
            </w:r>
          </w:p>
          <w:p w14:paraId="1FD98DF6" w14:textId="77777777" w:rsidR="001B70C4" w:rsidRDefault="000B6F88" w:rsidP="007C24B4">
            <w:r>
              <w:t>-</w:t>
            </w:r>
            <w:r w:rsidR="007C24B4">
              <w:t>lister ses ressources face aux situations de stress</w:t>
            </w:r>
          </w:p>
          <w:p w14:paraId="4A80BE1D" w14:textId="40ABB598" w:rsidR="005D3897" w:rsidRDefault="005D3897" w:rsidP="00165784">
            <w:r>
              <w:t>-Mettre en place un accompagnement spécifique</w:t>
            </w:r>
            <w:r w:rsidR="00165784">
              <w:t xml:space="preserve"> : </w:t>
            </w:r>
            <w:r w:rsidR="00165784" w:rsidRPr="00165784">
              <w:rPr>
                <w:color w:val="ED7D31" w:themeColor="accent2"/>
              </w:rPr>
              <w:t xml:space="preserve">Soutien AEP, Ateliers PLIE (bien être sophrologie, musicothérapie, sorties culturelles….) Presta PE valoriser son image </w:t>
            </w:r>
            <w:r w:rsidR="00165784">
              <w:rPr>
                <w:color w:val="ED7D31" w:themeColor="accent2"/>
              </w:rPr>
              <w:t>…</w:t>
            </w:r>
          </w:p>
        </w:tc>
      </w:tr>
      <w:tr w:rsidR="001B70C4" w14:paraId="562BD868" w14:textId="77777777" w:rsidTr="0079334B">
        <w:tc>
          <w:tcPr>
            <w:tcW w:w="3256" w:type="dxa"/>
          </w:tcPr>
          <w:p w14:paraId="0582A2FA" w14:textId="77777777" w:rsidR="004E661B" w:rsidRDefault="004E661B" w:rsidP="001B70C4">
            <w:pPr>
              <w:jc w:val="center"/>
            </w:pPr>
          </w:p>
          <w:p w14:paraId="4A8093CA" w14:textId="6EC7E3FF" w:rsidR="001B70C4" w:rsidRDefault="000808B1" w:rsidP="001B70C4">
            <w:pPr>
              <w:jc w:val="center"/>
            </w:pPr>
            <w:r>
              <w:t>REVENU</w:t>
            </w:r>
          </w:p>
        </w:tc>
        <w:tc>
          <w:tcPr>
            <w:tcW w:w="6073" w:type="dxa"/>
          </w:tcPr>
          <w:p w14:paraId="41B2865F" w14:textId="00063A2D" w:rsidR="001B70C4" w:rsidRDefault="006F1B91" w:rsidP="001B70C4">
            <w:pPr>
              <w:jc w:val="center"/>
            </w:pPr>
            <w:r>
              <w:t>Lorsque le niveau de revenu</w:t>
            </w:r>
            <w:r w:rsidR="00977818">
              <w:t>s</w:t>
            </w:r>
            <w:r>
              <w:t xml:space="preserve"> est insuffisant et représente un risque</w:t>
            </w:r>
            <w:r w:rsidR="00977818">
              <w:t xml:space="preserve"> de déséquilibre </w:t>
            </w:r>
            <w:r w:rsidR="00FF6BFE">
              <w:t xml:space="preserve">financier </w:t>
            </w:r>
            <w:r w:rsidR="00061FD2">
              <w:t>voire de rupture du parcours</w:t>
            </w:r>
            <w:r w:rsidR="00FF6BFE">
              <w:t>…</w:t>
            </w:r>
            <w:r>
              <w:t xml:space="preserve">  </w:t>
            </w:r>
          </w:p>
        </w:tc>
        <w:tc>
          <w:tcPr>
            <w:tcW w:w="5267" w:type="dxa"/>
          </w:tcPr>
          <w:p w14:paraId="25F02EDC" w14:textId="4AC3082F" w:rsidR="00497CCD" w:rsidRDefault="00497CCD" w:rsidP="000312C2">
            <w:r>
              <w:t>-</w:t>
            </w:r>
            <w:r w:rsidR="000312C2">
              <w:t xml:space="preserve">stabiliser la situation budget par le biais de missions SIAE/ ACI / </w:t>
            </w:r>
            <w:r w:rsidR="00242922">
              <w:t>Intérim</w:t>
            </w:r>
            <w:r>
              <w:t>…</w:t>
            </w:r>
          </w:p>
          <w:p w14:paraId="1B22E711" w14:textId="45401426" w:rsidR="00497CCD" w:rsidRDefault="00242922" w:rsidP="000312C2">
            <w:r>
              <w:t>-</w:t>
            </w:r>
            <w:r w:rsidR="00497CCD">
              <w:t>Etablir un dossier de surendettement avec l’AS</w:t>
            </w:r>
            <w:r w:rsidR="000312C2">
              <w:t xml:space="preserve"> </w:t>
            </w:r>
          </w:p>
          <w:p w14:paraId="16625240" w14:textId="4098E674" w:rsidR="00165784" w:rsidRPr="00165784" w:rsidRDefault="00165784" w:rsidP="000312C2">
            <w:pPr>
              <w:rPr>
                <w:color w:val="ED7D31" w:themeColor="accent2"/>
              </w:rPr>
            </w:pPr>
            <w:r>
              <w:t xml:space="preserve">- </w:t>
            </w:r>
            <w:r w:rsidR="000866A3">
              <w:rPr>
                <w:color w:val="ED7D31" w:themeColor="accent2"/>
              </w:rPr>
              <w:t>Bénéficier d’une aide alimentaire</w:t>
            </w:r>
            <w:r w:rsidRPr="00165784">
              <w:rPr>
                <w:color w:val="ED7D31" w:themeColor="accent2"/>
              </w:rPr>
              <w:t xml:space="preserve"> (restos du cœur, AS pour une aide alimentaire, SOLEPI…)</w:t>
            </w:r>
          </w:p>
          <w:p w14:paraId="78D9CA1E" w14:textId="4787F147" w:rsidR="001B70C4" w:rsidRDefault="001B70C4" w:rsidP="000312C2"/>
        </w:tc>
      </w:tr>
      <w:tr w:rsidR="001B70C4" w14:paraId="44690411" w14:textId="77777777" w:rsidTr="0079334B">
        <w:tc>
          <w:tcPr>
            <w:tcW w:w="3256" w:type="dxa"/>
          </w:tcPr>
          <w:p w14:paraId="14538B48" w14:textId="77777777" w:rsidR="004E661B" w:rsidRDefault="004E661B" w:rsidP="001B70C4">
            <w:pPr>
              <w:jc w:val="center"/>
            </w:pPr>
          </w:p>
          <w:p w14:paraId="6B1A0331" w14:textId="7FB315AD" w:rsidR="001B70C4" w:rsidRDefault="000808B1" w:rsidP="001B70C4">
            <w:pPr>
              <w:jc w:val="center"/>
            </w:pPr>
            <w:r>
              <w:t>MAITRISE DE LA LANGUE</w:t>
            </w:r>
          </w:p>
        </w:tc>
        <w:tc>
          <w:tcPr>
            <w:tcW w:w="6073" w:type="dxa"/>
          </w:tcPr>
          <w:p w14:paraId="5FF960D7" w14:textId="66BF87C9" w:rsidR="001B70C4" w:rsidRDefault="009A3C44" w:rsidP="001B70C4">
            <w:pPr>
              <w:jc w:val="center"/>
            </w:pPr>
            <w:r>
              <w:t xml:space="preserve">Lorsque le niveau de maitrise de la langue entrave l’accès à l’emploi, à la formation, </w:t>
            </w:r>
            <w:r w:rsidR="007E799E">
              <w:t>l’autonomie dans les démarches administratives courantes</w:t>
            </w:r>
            <w:r w:rsidR="00AC7B13">
              <w:t>, la vie sociale</w:t>
            </w:r>
            <w:r w:rsidR="00140704">
              <w:t>…</w:t>
            </w:r>
          </w:p>
        </w:tc>
        <w:tc>
          <w:tcPr>
            <w:tcW w:w="5267" w:type="dxa"/>
          </w:tcPr>
          <w:p w14:paraId="1D5B23E2" w14:textId="27726034" w:rsidR="008349EB" w:rsidRDefault="008349EB" w:rsidP="008349EB">
            <w:r>
              <w:t>-</w:t>
            </w:r>
            <w:r w:rsidR="00CB23FF">
              <w:t>A</w:t>
            </w:r>
            <w:r>
              <w:t>ugmenter le vocabulaire.</w:t>
            </w:r>
          </w:p>
          <w:p w14:paraId="445DDA63" w14:textId="3E720908" w:rsidR="00CB23FF" w:rsidRDefault="008349EB" w:rsidP="008349EB">
            <w:r>
              <w:t>-</w:t>
            </w:r>
            <w:r w:rsidR="00CB23FF">
              <w:t>Être</w:t>
            </w:r>
            <w:r>
              <w:t xml:space="preserve"> capable d’écrire un texte simpl</w:t>
            </w:r>
            <w:r w:rsidR="00CB23FF">
              <w:t>e</w:t>
            </w:r>
            <w:r w:rsidR="00467756">
              <w:t>.</w:t>
            </w:r>
          </w:p>
          <w:p w14:paraId="1E010D4D" w14:textId="77777777" w:rsidR="001B70C4" w:rsidRDefault="00CB23FF" w:rsidP="008349EB">
            <w:r>
              <w:t>-C</w:t>
            </w:r>
            <w:r w:rsidR="008349EB">
              <w:t>omprendre une consigne</w:t>
            </w:r>
            <w:r w:rsidR="00467756">
              <w:t>…</w:t>
            </w:r>
          </w:p>
          <w:p w14:paraId="7D0503A0" w14:textId="2F07D560" w:rsidR="00AB3E1B" w:rsidRDefault="00AB3E1B" w:rsidP="008349EB">
            <w:r>
              <w:t>-S’engager dans un parcours de formation linguistique</w:t>
            </w:r>
          </w:p>
        </w:tc>
      </w:tr>
      <w:tr w:rsidR="001B70C4" w14:paraId="65F7F871" w14:textId="77777777" w:rsidTr="0079334B">
        <w:tc>
          <w:tcPr>
            <w:tcW w:w="3256" w:type="dxa"/>
          </w:tcPr>
          <w:p w14:paraId="47DA1FDE" w14:textId="77777777" w:rsidR="004E661B" w:rsidRDefault="004E661B" w:rsidP="001B70C4">
            <w:pPr>
              <w:jc w:val="center"/>
            </w:pPr>
          </w:p>
          <w:p w14:paraId="682C0210" w14:textId="77777777" w:rsidR="004E661B" w:rsidRDefault="004E661B" w:rsidP="001B70C4">
            <w:pPr>
              <w:jc w:val="center"/>
            </w:pPr>
          </w:p>
          <w:p w14:paraId="0BCDCC3B" w14:textId="16056623" w:rsidR="001B70C4" w:rsidRDefault="00794B1D" w:rsidP="001B70C4">
            <w:pPr>
              <w:jc w:val="center"/>
            </w:pPr>
            <w:r>
              <w:t>MOBILITE</w:t>
            </w:r>
          </w:p>
        </w:tc>
        <w:tc>
          <w:tcPr>
            <w:tcW w:w="6073" w:type="dxa"/>
          </w:tcPr>
          <w:p w14:paraId="7120B4EB" w14:textId="0B20CE9B" w:rsidR="001B70C4" w:rsidRDefault="00A8083A" w:rsidP="001B70C4">
            <w:pPr>
              <w:jc w:val="center"/>
            </w:pPr>
            <w:r>
              <w:t>Les freins à la mobilité sont variés : appréhension à prendre les transports en commun, difficulté à prendre un billet de train, méconnaissance des solutions de transports sur son territoire, financement du permis de conduire, absence de véhicule pour rejoindre son lieu de formation ou de travail</w:t>
            </w:r>
            <w:r w:rsidR="009C787D">
              <w:t>…</w:t>
            </w:r>
          </w:p>
        </w:tc>
        <w:tc>
          <w:tcPr>
            <w:tcW w:w="5267" w:type="dxa"/>
          </w:tcPr>
          <w:p w14:paraId="7491BF9E" w14:textId="67B8CA32" w:rsidR="008A3D9F" w:rsidRDefault="00BB2849" w:rsidP="00BB2849">
            <w:r>
              <w:t>-Augmenter ses déplacements ; son rayon d’action</w:t>
            </w:r>
            <w:r w:rsidR="008A3D9F">
              <w:t>.</w:t>
            </w:r>
          </w:p>
          <w:p w14:paraId="3731E098" w14:textId="09CC8510" w:rsidR="00484641" w:rsidRDefault="00484641" w:rsidP="00BB2849">
            <w:r>
              <w:t>-S’informer sur les aides à la mobilité existantes.</w:t>
            </w:r>
          </w:p>
          <w:p w14:paraId="2807C202" w14:textId="061971C9" w:rsidR="00534915" w:rsidRDefault="00534915" w:rsidP="00BB2849">
            <w:r>
              <w:t>-Faire établir son abonnement</w:t>
            </w:r>
            <w:r w:rsidR="00CD6F31">
              <w:t xml:space="preserve"> de TC</w:t>
            </w:r>
            <w:r w:rsidR="00484641">
              <w:t>.</w:t>
            </w:r>
          </w:p>
          <w:p w14:paraId="15407443" w14:textId="77777777" w:rsidR="008A3D9F" w:rsidRDefault="008A3D9F" w:rsidP="00BB2849">
            <w:r>
              <w:t>-</w:t>
            </w:r>
            <w:r w:rsidR="00BB2849">
              <w:t>Ouvrir les champs d’exploration</w:t>
            </w:r>
            <w:r>
              <w:t>.</w:t>
            </w:r>
          </w:p>
          <w:p w14:paraId="45799FF8" w14:textId="77777777" w:rsidR="008A3D9F" w:rsidRDefault="008A3D9F" w:rsidP="00BB2849">
            <w:r>
              <w:t>-</w:t>
            </w:r>
            <w:r w:rsidR="00BB2849">
              <w:t>s’inscrire en auto-école</w:t>
            </w:r>
            <w:r>
              <w:t>.</w:t>
            </w:r>
          </w:p>
          <w:p w14:paraId="098E7C11" w14:textId="65FAD4B8" w:rsidR="00BB2849" w:rsidRDefault="008A3D9F" w:rsidP="00BB2849">
            <w:r>
              <w:t>-</w:t>
            </w:r>
            <w:r w:rsidR="00BB2849">
              <w:t>obtenir le code et le permis…</w:t>
            </w:r>
          </w:p>
          <w:p w14:paraId="56D600D2" w14:textId="63B6D01C" w:rsidR="000866A3" w:rsidRPr="00144499" w:rsidRDefault="000866A3" w:rsidP="00BB2849">
            <w:r>
              <w:t>- Orienter vers des partenaires (AS , SVP bouger , association A vélo…</w:t>
            </w:r>
          </w:p>
          <w:p w14:paraId="0EC99223" w14:textId="77777777" w:rsidR="001B70C4" w:rsidRDefault="001B70C4" w:rsidP="001B70C4">
            <w:pPr>
              <w:jc w:val="center"/>
            </w:pPr>
          </w:p>
        </w:tc>
      </w:tr>
      <w:tr w:rsidR="001B70C4" w14:paraId="1179B920" w14:textId="77777777" w:rsidTr="0079334B">
        <w:tc>
          <w:tcPr>
            <w:tcW w:w="3256" w:type="dxa"/>
          </w:tcPr>
          <w:p w14:paraId="7AF4379C" w14:textId="77777777" w:rsidR="004E661B" w:rsidRDefault="004E661B" w:rsidP="001B70C4">
            <w:pPr>
              <w:jc w:val="center"/>
            </w:pPr>
          </w:p>
          <w:p w14:paraId="7502FBF0" w14:textId="7B58063C" w:rsidR="001B70C4" w:rsidRDefault="00794B1D" w:rsidP="001B70C4">
            <w:pPr>
              <w:jc w:val="center"/>
            </w:pPr>
            <w:r>
              <w:t xml:space="preserve">DISPONIBILITE </w:t>
            </w:r>
          </w:p>
        </w:tc>
        <w:tc>
          <w:tcPr>
            <w:tcW w:w="6073" w:type="dxa"/>
          </w:tcPr>
          <w:p w14:paraId="0AA69A85" w14:textId="77777777" w:rsidR="001B70C4" w:rsidRDefault="007C24BD" w:rsidP="001B70C4">
            <w:pPr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Dans</w:t>
            </w:r>
            <w:r w:rsidR="00ED2C02">
              <w:rPr>
                <w:rFonts w:eastAsia="Times New Roman"/>
                <w:lang w:eastAsia="fr-FR"/>
              </w:rPr>
              <w:t xml:space="preserve"> le cas de contraintes liées à une décision de justice, liées à une prise d’emploi à temps partiel</w:t>
            </w:r>
            <w:r w:rsidR="00A6458E">
              <w:rPr>
                <w:rFonts w:eastAsia="Times New Roman"/>
                <w:lang w:eastAsia="fr-FR"/>
              </w:rPr>
              <w:t xml:space="preserve"> (choisi)</w:t>
            </w:r>
            <w:r w:rsidR="00ED2C02">
              <w:rPr>
                <w:rFonts w:eastAsia="Times New Roman"/>
                <w:lang w:eastAsia="fr-FR"/>
              </w:rPr>
              <w:t xml:space="preserve">, </w:t>
            </w:r>
            <w:r w:rsidR="00FF6CF1">
              <w:rPr>
                <w:rFonts w:eastAsia="Times New Roman"/>
                <w:lang w:eastAsia="fr-FR"/>
              </w:rPr>
              <w:t>liées</w:t>
            </w:r>
            <w:r w:rsidR="00DC3C4A">
              <w:rPr>
                <w:rFonts w:eastAsia="Times New Roman"/>
                <w:lang w:eastAsia="fr-FR"/>
              </w:rPr>
              <w:t xml:space="preserve"> à </w:t>
            </w:r>
            <w:r w:rsidR="00ED2C02">
              <w:rPr>
                <w:rFonts w:eastAsia="Times New Roman"/>
                <w:lang w:eastAsia="fr-FR"/>
              </w:rPr>
              <w:t>une « barrière » psychologique à s’organiser autrement…</w:t>
            </w:r>
          </w:p>
          <w:p w14:paraId="0E880DD1" w14:textId="6377EC06" w:rsidR="00304042" w:rsidRDefault="00304042" w:rsidP="001B70C4">
            <w:pPr>
              <w:jc w:val="center"/>
            </w:pPr>
          </w:p>
        </w:tc>
        <w:tc>
          <w:tcPr>
            <w:tcW w:w="5267" w:type="dxa"/>
          </w:tcPr>
          <w:p w14:paraId="1486C67F" w14:textId="7631AD55" w:rsidR="001B70C4" w:rsidRDefault="001905EA" w:rsidP="001B70C4">
            <w:pPr>
              <w:jc w:val="center"/>
            </w:pPr>
            <w:r>
              <w:t>Identifier une plage disponible pour engager une action liée à l’emploi.</w:t>
            </w:r>
          </w:p>
        </w:tc>
      </w:tr>
      <w:tr w:rsidR="001B70C4" w14:paraId="6E141841" w14:textId="77777777" w:rsidTr="0079334B">
        <w:tc>
          <w:tcPr>
            <w:tcW w:w="3256" w:type="dxa"/>
          </w:tcPr>
          <w:p w14:paraId="3CAEF5BE" w14:textId="77777777" w:rsidR="004E661B" w:rsidRDefault="004E661B" w:rsidP="001B70C4">
            <w:pPr>
              <w:jc w:val="center"/>
            </w:pPr>
          </w:p>
          <w:p w14:paraId="37A1AB30" w14:textId="77777777" w:rsidR="004E661B" w:rsidRDefault="004E661B" w:rsidP="001B70C4">
            <w:pPr>
              <w:jc w:val="center"/>
            </w:pPr>
          </w:p>
          <w:p w14:paraId="05BFC2F1" w14:textId="1F165AAF" w:rsidR="001B70C4" w:rsidRDefault="00CA2763" w:rsidP="001B70C4">
            <w:pPr>
              <w:jc w:val="center"/>
            </w:pPr>
            <w:r>
              <w:t>CONSTITUER UN DOSSIER</w:t>
            </w:r>
          </w:p>
        </w:tc>
        <w:tc>
          <w:tcPr>
            <w:tcW w:w="6073" w:type="dxa"/>
          </w:tcPr>
          <w:p w14:paraId="0EC8F74E" w14:textId="77777777" w:rsidR="001B70C4" w:rsidRDefault="00DF062D" w:rsidP="001B70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Permet</w:t>
            </w:r>
            <w:r w:rsidR="0060005D">
              <w:rPr>
                <w:rFonts w:ascii="Calibri" w:hAnsi="Calibri"/>
              </w:rPr>
              <w:t xml:space="preserve"> de justifier du temps d’accompagnement consacré notamment au soutien administratif et partenarial pour des dossiers de retraite, de MDPH, CAF ou CARSAT, Titre de séjour</w:t>
            </w:r>
            <w:r w:rsidR="00DC3C4A">
              <w:rPr>
                <w:rFonts w:ascii="Calibri" w:hAnsi="Calibri"/>
              </w:rPr>
              <w:t>…</w:t>
            </w:r>
            <w:r w:rsidR="0060005D">
              <w:rPr>
                <w:rFonts w:ascii="Calibri" w:hAnsi="Calibri"/>
              </w:rPr>
              <w:t xml:space="preserve"> Il ne s’agit pas d’ouvrir cet axe pour un soutien ponctuel mais lors d’une situation qui entrave la poursuite du parcours.</w:t>
            </w:r>
          </w:p>
          <w:p w14:paraId="28A64183" w14:textId="348288DB" w:rsidR="00304042" w:rsidRDefault="00304042" w:rsidP="001B70C4">
            <w:pPr>
              <w:jc w:val="center"/>
            </w:pPr>
          </w:p>
        </w:tc>
        <w:tc>
          <w:tcPr>
            <w:tcW w:w="5267" w:type="dxa"/>
          </w:tcPr>
          <w:p w14:paraId="69B34692" w14:textId="77777777" w:rsidR="001B70C4" w:rsidRDefault="00694D3B" w:rsidP="00FA1492">
            <w:r>
              <w:t>-Constituer le dossier MDPH</w:t>
            </w:r>
          </w:p>
          <w:p w14:paraId="67B82F34" w14:textId="6BC39DE1" w:rsidR="00694D3B" w:rsidRDefault="00694D3B" w:rsidP="00FA1492">
            <w:r>
              <w:t xml:space="preserve">-Constituer </w:t>
            </w:r>
            <w:r w:rsidR="007E172D">
              <w:t>le dossier de demande RSA, ASS, AAH</w:t>
            </w:r>
            <w:r w:rsidR="000866A3">
              <w:t xml:space="preserve">, </w:t>
            </w:r>
            <w:r w:rsidR="000866A3" w:rsidRPr="000866A3">
              <w:rPr>
                <w:color w:val="ED7D31" w:themeColor="accent2"/>
              </w:rPr>
              <w:t>ARE</w:t>
            </w:r>
          </w:p>
          <w:p w14:paraId="0D2C0DA5" w14:textId="1CB5A431" w:rsidR="00AC07C3" w:rsidRDefault="00AC07C3" w:rsidP="00FA1492">
            <w:r>
              <w:t>-Constituer le dossier de demande de retraite CARSAT</w:t>
            </w:r>
          </w:p>
        </w:tc>
      </w:tr>
      <w:tr w:rsidR="001B70C4" w14:paraId="2EA42235" w14:textId="77777777" w:rsidTr="0079334B">
        <w:tc>
          <w:tcPr>
            <w:tcW w:w="3256" w:type="dxa"/>
          </w:tcPr>
          <w:p w14:paraId="13F360FD" w14:textId="6EC0A635" w:rsidR="001B70C4" w:rsidRDefault="00CA2763" w:rsidP="001B70C4">
            <w:pPr>
              <w:jc w:val="center"/>
            </w:pPr>
            <w:r>
              <w:t>INCLUSION NUMERIQUE</w:t>
            </w:r>
          </w:p>
        </w:tc>
        <w:tc>
          <w:tcPr>
            <w:tcW w:w="6073" w:type="dxa"/>
          </w:tcPr>
          <w:p w14:paraId="52FBF8F6" w14:textId="77777777" w:rsidR="001B70C4" w:rsidRDefault="0098642C" w:rsidP="00D31B3A">
            <w:pPr>
              <w:jc w:val="center"/>
            </w:pPr>
            <w:r>
              <w:t>Le numérique peut constituer un frein périphérique lorsque les personnes n’ont pas</w:t>
            </w:r>
            <w:r w:rsidR="00D31B3A">
              <w:t xml:space="preserve"> </w:t>
            </w:r>
            <w:r>
              <w:t>accès aux outils de communication numérique (absence de terminal numérique et/ou</w:t>
            </w:r>
            <w:r w:rsidR="00D31B3A">
              <w:t xml:space="preserve"> </w:t>
            </w:r>
            <w:r>
              <w:t>d’un accès à internet) et/ou ne maîtrisent pas les usages de ces outils pour rechercher</w:t>
            </w:r>
            <w:r w:rsidR="00D31B3A">
              <w:t xml:space="preserve"> </w:t>
            </w:r>
            <w:r>
              <w:t>un emploi et développer leur employabilité</w:t>
            </w:r>
            <w:r w:rsidR="000905BB">
              <w:t xml:space="preserve">, leur autonomie </w:t>
            </w:r>
            <w:r w:rsidR="00C71075">
              <w:t>pour les démarches quotidiennes</w:t>
            </w:r>
            <w:r>
              <w:t>.</w:t>
            </w:r>
          </w:p>
          <w:p w14:paraId="7ADC889F" w14:textId="4EC41239" w:rsidR="00304042" w:rsidRDefault="00304042" w:rsidP="00D31B3A">
            <w:pPr>
              <w:jc w:val="center"/>
            </w:pPr>
          </w:p>
        </w:tc>
        <w:tc>
          <w:tcPr>
            <w:tcW w:w="5267" w:type="dxa"/>
          </w:tcPr>
          <w:p w14:paraId="17D5899D" w14:textId="760D1769" w:rsidR="001B70C4" w:rsidRDefault="004E4F1B" w:rsidP="004E4F1B">
            <w:r>
              <w:lastRenderedPageBreak/>
              <w:t>-Réaliser une démarche avec la MFS</w:t>
            </w:r>
          </w:p>
          <w:p w14:paraId="6F480D01" w14:textId="44EA2D28" w:rsidR="004E4F1B" w:rsidRDefault="004E4F1B" w:rsidP="004E4F1B">
            <w:r>
              <w:t>-</w:t>
            </w:r>
            <w:r w:rsidR="00124E89">
              <w:t>Se former aux usages de base du numérique</w:t>
            </w:r>
          </w:p>
          <w:p w14:paraId="66D33078" w14:textId="191F9B4B" w:rsidR="00124E89" w:rsidRDefault="00124E89" w:rsidP="004E4F1B"/>
          <w:p w14:paraId="79723D3C" w14:textId="51111814" w:rsidR="004E4F1B" w:rsidRDefault="004E4F1B" w:rsidP="001B70C4">
            <w:pPr>
              <w:jc w:val="center"/>
            </w:pPr>
          </w:p>
        </w:tc>
      </w:tr>
      <w:tr w:rsidR="00CA2763" w14:paraId="202DB96C" w14:textId="77777777" w:rsidTr="0079334B">
        <w:tc>
          <w:tcPr>
            <w:tcW w:w="3256" w:type="dxa"/>
          </w:tcPr>
          <w:p w14:paraId="04565B6F" w14:textId="4500EC51" w:rsidR="00CA2763" w:rsidRDefault="00535C4A" w:rsidP="001B70C4">
            <w:pPr>
              <w:jc w:val="center"/>
            </w:pPr>
            <w:r>
              <w:t>SAVOIR ËTRE</w:t>
            </w:r>
          </w:p>
        </w:tc>
        <w:tc>
          <w:tcPr>
            <w:tcW w:w="6073" w:type="dxa"/>
          </w:tcPr>
          <w:p w14:paraId="4B3F6963" w14:textId="77777777" w:rsidR="00C6556C" w:rsidRDefault="00953FC4" w:rsidP="006761E5">
            <w:pPr>
              <w:jc w:val="center"/>
            </w:pPr>
            <w:r w:rsidRPr="00953FC4">
              <w:t>Le savoir-être est un ensemble de qualités personnelles, d'habiletés sociales correspondant à la capacité de produire des actions et des réactions adaptées à l'environnement humain et écologique. Il est nécessaire à l'autonomie, au partage avec les autres et à une vie affective riche.</w:t>
            </w:r>
          </w:p>
          <w:p w14:paraId="7FFE580F" w14:textId="3274F09C" w:rsidR="00490DD1" w:rsidRDefault="00490DD1" w:rsidP="00C6556C"/>
        </w:tc>
        <w:tc>
          <w:tcPr>
            <w:tcW w:w="5267" w:type="dxa"/>
          </w:tcPr>
          <w:p w14:paraId="057E6C59" w14:textId="77777777" w:rsidR="00716FE8" w:rsidRDefault="00716FE8" w:rsidP="00716FE8">
            <w:r>
              <w:t>-</w:t>
            </w:r>
            <w:r w:rsidRPr="00716FE8">
              <w:t>Gérer ses émotions</w:t>
            </w:r>
            <w:r>
              <w:t>.</w:t>
            </w:r>
          </w:p>
          <w:p w14:paraId="05C92E99" w14:textId="77777777" w:rsidR="005A6324" w:rsidRDefault="005A6324" w:rsidP="00716FE8">
            <w:r>
              <w:t>-</w:t>
            </w:r>
            <w:r w:rsidR="00716FE8" w:rsidRPr="00716FE8">
              <w:t>Apprendre à communiquer dans le monde professionnel</w:t>
            </w:r>
            <w:r>
              <w:t>.</w:t>
            </w:r>
          </w:p>
          <w:p w14:paraId="6C955CCB" w14:textId="77777777" w:rsidR="00CA2763" w:rsidRDefault="005A6324" w:rsidP="00716FE8">
            <w:r>
              <w:t>-</w:t>
            </w:r>
            <w:r w:rsidR="00716FE8" w:rsidRPr="00716FE8">
              <w:t>suivre une procédure</w:t>
            </w:r>
          </w:p>
          <w:p w14:paraId="5B853421" w14:textId="2B95DC9C" w:rsidR="000866A3" w:rsidRDefault="000866A3" w:rsidP="00716FE8">
            <w:r w:rsidRPr="000866A3">
              <w:rPr>
                <w:color w:val="ED7D31" w:themeColor="accent2"/>
              </w:rPr>
              <w:t xml:space="preserve">- suivre une action spécifique (ex : Valoriser son image) </w:t>
            </w:r>
          </w:p>
        </w:tc>
      </w:tr>
    </w:tbl>
    <w:p w14:paraId="5901549E" w14:textId="0355D8B0" w:rsidR="001B70C4" w:rsidRDefault="001B70C4" w:rsidP="001B70C4">
      <w:pPr>
        <w:jc w:val="center"/>
      </w:pPr>
    </w:p>
    <w:p w14:paraId="0F669CBA" w14:textId="6E97354E" w:rsidR="00200968" w:rsidRDefault="00200968" w:rsidP="001B70C4">
      <w:pPr>
        <w:jc w:val="center"/>
      </w:pPr>
    </w:p>
    <w:p w14:paraId="1DA739E0" w14:textId="77777777" w:rsidR="009C43E8" w:rsidRDefault="009C43E8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color w:val="2F5496" w:themeColor="accent1" w:themeShade="BF"/>
          <w:u w:val="single"/>
          <w:lang w:eastAsia="fr-FR"/>
        </w:rPr>
      </w:pPr>
    </w:p>
    <w:p w14:paraId="00E11808" w14:textId="4B4127F8" w:rsidR="00A27474" w:rsidRPr="00F2134B" w:rsidRDefault="00A27474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color w:val="2F5496" w:themeColor="accent1" w:themeShade="BF"/>
          <w:u w:val="single"/>
          <w:lang w:eastAsia="fr-FR"/>
        </w:rPr>
      </w:pPr>
      <w:r w:rsidRPr="00F2134B">
        <w:rPr>
          <w:rFonts w:ascii="Calibri" w:eastAsia="Times New Roman" w:hAnsi="Calibri" w:cs="Times New Roman"/>
          <w:color w:val="2F5496" w:themeColor="accent1" w:themeShade="BF"/>
          <w:u w:val="single"/>
          <w:lang w:eastAsia="fr-FR"/>
        </w:rPr>
        <w:t>La saisie dans Visual Course permet de répondre à plusieurs objectifs :</w:t>
      </w:r>
    </w:p>
    <w:p w14:paraId="2C07593E" w14:textId="77777777" w:rsidR="00F12F09" w:rsidRPr="00F2134B" w:rsidRDefault="00F12F09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color w:val="2F5496" w:themeColor="accent1" w:themeShade="BF"/>
          <w:u w:val="single"/>
          <w:lang w:eastAsia="fr-FR"/>
        </w:rPr>
      </w:pPr>
    </w:p>
    <w:p w14:paraId="0301E456" w14:textId="568C933B" w:rsidR="003C3C0F" w:rsidRPr="003C3C0F" w:rsidRDefault="009D0265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color w:val="2F5496" w:themeColor="accent1" w:themeShade="BF"/>
          <w:lang w:eastAsia="fr-FR"/>
        </w:rPr>
      </w:pPr>
      <w:r>
        <w:rPr>
          <w:rFonts w:ascii="Calibri" w:eastAsia="Times New Roman" w:hAnsi="Calibri" w:cs="Times New Roman"/>
          <w:color w:val="2F5496" w:themeColor="accent1" w:themeShade="BF"/>
          <w:lang w:eastAsia="fr-FR"/>
        </w:rPr>
        <w:sym w:font="Wingdings" w:char="F0D8"/>
      </w:r>
      <w:r w:rsidR="003C3C0F" w:rsidRPr="003C3C0F">
        <w:rPr>
          <w:rFonts w:ascii="Calibri" w:eastAsia="Times New Roman" w:hAnsi="Calibri" w:cs="Times New Roman"/>
          <w:color w:val="2F5496" w:themeColor="accent1" w:themeShade="BF"/>
          <w:lang w:eastAsia="fr-FR"/>
        </w:rPr>
        <w:t>Elle enrichit le diagnostic de la situation individuelle, permet d’adapter les étapes de parcours à mettre en œuvre et donne une lecture sur les périodes sans étapes de parcours en particulier.</w:t>
      </w:r>
    </w:p>
    <w:p w14:paraId="7AA175F4" w14:textId="69F93185" w:rsidR="003C3C0F" w:rsidRPr="003C3C0F" w:rsidRDefault="009D0265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color w:val="2F5496" w:themeColor="accent1" w:themeShade="BF"/>
          <w:lang w:eastAsia="fr-FR"/>
        </w:rPr>
      </w:pPr>
      <w:r>
        <w:rPr>
          <w:rFonts w:ascii="Calibri" w:eastAsia="Times New Roman" w:hAnsi="Calibri" w:cs="Times New Roman"/>
          <w:color w:val="2F5496" w:themeColor="accent1" w:themeShade="BF"/>
          <w:lang w:eastAsia="fr-FR"/>
        </w:rPr>
        <w:sym w:font="Wingdings" w:char="F0D8"/>
      </w:r>
      <w:r w:rsidR="003C3C0F" w:rsidRPr="003C3C0F">
        <w:rPr>
          <w:rFonts w:ascii="Calibri" w:eastAsia="Times New Roman" w:hAnsi="Calibri" w:cs="Times New Roman"/>
          <w:color w:val="2F5496" w:themeColor="accent1" w:themeShade="BF"/>
          <w:lang w:eastAsia="fr-FR"/>
        </w:rPr>
        <w:t>Elle permet la valorisation de parcours longs.</w:t>
      </w:r>
    </w:p>
    <w:p w14:paraId="1F37131F" w14:textId="17EDBB85" w:rsidR="003C3C0F" w:rsidRPr="003C3C0F" w:rsidRDefault="009D0265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color w:val="2F5496" w:themeColor="accent1" w:themeShade="BF"/>
          <w:lang w:eastAsia="fr-FR"/>
        </w:rPr>
      </w:pPr>
      <w:r>
        <w:rPr>
          <w:rFonts w:ascii="Calibri" w:eastAsia="Times New Roman" w:hAnsi="Calibri" w:cs="Times New Roman"/>
          <w:color w:val="2F5496" w:themeColor="accent1" w:themeShade="BF"/>
          <w:lang w:eastAsia="fr-FR"/>
        </w:rPr>
        <w:sym w:font="Wingdings" w:char="F0D8"/>
      </w:r>
      <w:r w:rsidR="003C3C0F" w:rsidRPr="003C3C0F">
        <w:rPr>
          <w:rFonts w:ascii="Calibri" w:eastAsia="Times New Roman" w:hAnsi="Calibri" w:cs="Times New Roman"/>
          <w:color w:val="2F5496" w:themeColor="accent1" w:themeShade="BF"/>
          <w:lang w:eastAsia="fr-FR"/>
        </w:rPr>
        <w:t xml:space="preserve">Elle apporte des éléments de pilotage à l’équipe opérationnelle (consolidation des axes de progrès travaillés en vue de réactiver une offre existante ou bien d’en proposer une nouvelle) et de restitution auprès des financeurs du dispositif (FSE, </w:t>
      </w:r>
      <w:r w:rsidR="00D17C83" w:rsidRPr="00F2134B">
        <w:rPr>
          <w:rFonts w:ascii="Calibri" w:eastAsia="Times New Roman" w:hAnsi="Calibri" w:cs="Times New Roman"/>
          <w:color w:val="2F5496" w:themeColor="accent1" w:themeShade="BF"/>
          <w:lang w:eastAsia="fr-FR"/>
        </w:rPr>
        <w:t>département 76</w:t>
      </w:r>
      <w:r w:rsidR="003C3C0F" w:rsidRPr="003C3C0F">
        <w:rPr>
          <w:rFonts w:ascii="Calibri" w:eastAsia="Times New Roman" w:hAnsi="Calibri" w:cs="Times New Roman"/>
          <w:color w:val="2F5496" w:themeColor="accent1" w:themeShade="BF"/>
          <w:lang w:eastAsia="fr-FR"/>
        </w:rPr>
        <w:t>, Métropole et Région).</w:t>
      </w:r>
    </w:p>
    <w:p w14:paraId="6A6B40B2" w14:textId="163FAEFE" w:rsidR="00A27474" w:rsidRPr="009D0265" w:rsidRDefault="009D0265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2F5496" w:themeColor="accent1" w:themeShade="BF"/>
          <w:lang w:eastAsia="fr-FR"/>
        </w:rPr>
      </w:pPr>
      <w:r>
        <w:rPr>
          <w:rFonts w:ascii="Calibri" w:eastAsia="Times New Roman" w:hAnsi="Calibri" w:cs="Times New Roman"/>
          <w:color w:val="2F5496" w:themeColor="accent1" w:themeShade="BF"/>
          <w:lang w:eastAsia="fr-FR"/>
        </w:rPr>
        <w:sym w:font="Wingdings" w:char="F0D8"/>
      </w:r>
      <w:r w:rsidR="003C3C0F" w:rsidRPr="009D0265">
        <w:rPr>
          <w:rFonts w:ascii="Calibri" w:eastAsia="Times New Roman" w:hAnsi="Calibri" w:cs="Times New Roman"/>
          <w:color w:val="2F5496" w:themeColor="accent1" w:themeShade="BF"/>
          <w:lang w:eastAsia="fr-FR"/>
        </w:rPr>
        <w:t>Elle participe à la veille sur les ruptures d’étapes formations/emplois et les sorties.</w:t>
      </w:r>
    </w:p>
    <w:p w14:paraId="478EDDF7" w14:textId="77777777" w:rsidR="00A27474" w:rsidRDefault="00A27474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6C354FF9" w14:textId="5663A3C7" w:rsidR="00FE73E7" w:rsidRPr="00FE73E7" w:rsidRDefault="00FE73E7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</w:pPr>
      <w:r w:rsidRPr="00FE73E7"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  <w:t>La création d’un axe de progrès se justifie dans la contrainte que celui-ci représente à la mise en œuvre du parcours :</w:t>
      </w:r>
      <w:r w:rsidRPr="001F57EF"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  <w:t xml:space="preserve"> </w:t>
      </w:r>
      <w:r w:rsidRPr="00FE73E7"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  <w:t>Difficulté à engager une étape ou à la maintenir.</w:t>
      </w:r>
    </w:p>
    <w:p w14:paraId="544A005D" w14:textId="4C1A2E9A" w:rsidR="00FE73E7" w:rsidRDefault="00FE73E7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</w:pPr>
      <w:r w:rsidRPr="00FE73E7"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  <w:t>C’est sur ces périodes d’inactivité que l’AE doit questionner les problématiques éventuelles et les formaliser sous la forme d’actions concrètes.</w:t>
      </w:r>
    </w:p>
    <w:p w14:paraId="237AB3AC" w14:textId="7D64E182" w:rsidR="009C43E8" w:rsidRDefault="009C43E8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</w:pPr>
    </w:p>
    <w:p w14:paraId="26A8A1B0" w14:textId="77777777" w:rsidR="009C43E8" w:rsidRPr="009C43E8" w:rsidRDefault="009C43E8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</w:pPr>
      <w:r w:rsidRPr="009C43E8"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  <w:t>Quel que soit le frein, le délai entre 2 évaluations ne devrait pas excéder 3 mois.</w:t>
      </w:r>
    </w:p>
    <w:p w14:paraId="222C3F06" w14:textId="77777777" w:rsidR="009C43E8" w:rsidRPr="001F57EF" w:rsidRDefault="009C43E8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44546A" w:themeColor="text2"/>
          <w:sz w:val="24"/>
          <w:szCs w:val="24"/>
          <w:lang w:eastAsia="fr-FR"/>
        </w:rPr>
      </w:pPr>
    </w:p>
    <w:p w14:paraId="12D8B65C" w14:textId="1ED8B4D3" w:rsidR="00063B86" w:rsidRDefault="00063B86" w:rsidP="009C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A9DCE7A" w14:textId="77777777" w:rsidR="00063B86" w:rsidRPr="00FE73E7" w:rsidRDefault="00063B86" w:rsidP="00FE73E7">
      <w:pPr>
        <w:spacing w:after="0" w:line="240" w:lineRule="auto"/>
        <w:rPr>
          <w:rFonts w:ascii="Calibri" w:eastAsia="Times New Roman" w:hAnsi="Calibri" w:cs="Times New Roman"/>
          <w:color w:val="2F5496" w:themeColor="accent1" w:themeShade="BF"/>
          <w:lang w:eastAsia="fr-FR"/>
        </w:rPr>
      </w:pPr>
    </w:p>
    <w:p w14:paraId="39E4D1D8" w14:textId="7B3CD1E9" w:rsidR="00200968" w:rsidRDefault="00200968" w:rsidP="001B70C4">
      <w:pPr>
        <w:jc w:val="center"/>
      </w:pPr>
    </w:p>
    <w:p w14:paraId="674DE27C" w14:textId="31F69F37" w:rsidR="007022E2" w:rsidRDefault="007022E2" w:rsidP="001B70C4">
      <w:pPr>
        <w:jc w:val="center"/>
      </w:pPr>
    </w:p>
    <w:p w14:paraId="5D46D799" w14:textId="01C9E187" w:rsidR="007022E2" w:rsidRDefault="007022E2" w:rsidP="001B70C4">
      <w:pPr>
        <w:jc w:val="center"/>
      </w:pPr>
    </w:p>
    <w:p w14:paraId="38DD9C75" w14:textId="28C818FD" w:rsidR="007022E2" w:rsidRDefault="007022E2" w:rsidP="001B70C4">
      <w:pPr>
        <w:jc w:val="center"/>
      </w:pPr>
    </w:p>
    <w:p w14:paraId="1F735C48" w14:textId="27A7FCBE" w:rsidR="007022E2" w:rsidRDefault="007022E2" w:rsidP="001B70C4">
      <w:pPr>
        <w:jc w:val="center"/>
      </w:pPr>
    </w:p>
    <w:p w14:paraId="7297BC8B" w14:textId="42291130" w:rsidR="007022E2" w:rsidRDefault="007022E2" w:rsidP="001B70C4">
      <w:pPr>
        <w:jc w:val="center"/>
      </w:pPr>
    </w:p>
    <w:p w14:paraId="3C853F78" w14:textId="5EE0C10C" w:rsidR="007022E2" w:rsidRDefault="007022E2" w:rsidP="001B70C4">
      <w:pPr>
        <w:jc w:val="center"/>
      </w:pPr>
    </w:p>
    <w:p w14:paraId="6F5ADD1F" w14:textId="63BFC609" w:rsidR="007022E2" w:rsidRDefault="007022E2" w:rsidP="001B70C4">
      <w:pPr>
        <w:jc w:val="center"/>
      </w:pPr>
    </w:p>
    <w:p w14:paraId="4F1D2DD9" w14:textId="2D74AADC" w:rsidR="006C29CA" w:rsidRDefault="006C29CA" w:rsidP="001B70C4">
      <w:pPr>
        <w:jc w:val="center"/>
      </w:pPr>
    </w:p>
    <w:p w14:paraId="6FCB8945" w14:textId="77777777" w:rsidR="006C29CA" w:rsidRDefault="006C29CA" w:rsidP="001B70C4">
      <w:pPr>
        <w:jc w:val="center"/>
      </w:pPr>
    </w:p>
    <w:p w14:paraId="0E611174" w14:textId="77777777" w:rsidR="007022E2" w:rsidRDefault="007022E2" w:rsidP="009E1ECE"/>
    <w:p w14:paraId="3FE1DF54" w14:textId="7D3060CB" w:rsidR="00D67641" w:rsidRDefault="00D67641" w:rsidP="001B70C4">
      <w:pPr>
        <w:jc w:val="center"/>
        <w:rPr>
          <w:b/>
          <w:bCs/>
          <w:u w:val="single"/>
        </w:rPr>
      </w:pPr>
      <w:r w:rsidRPr="008E35D1">
        <w:rPr>
          <w:b/>
          <w:bCs/>
          <w:u w:val="single"/>
        </w:rPr>
        <w:t xml:space="preserve">LA VIE DES AXES DE PROGRES TOUT AU LONG </w:t>
      </w:r>
      <w:r w:rsidR="008E35D1" w:rsidRPr="008E35D1">
        <w:rPr>
          <w:b/>
          <w:bCs/>
          <w:u w:val="single"/>
        </w:rPr>
        <w:t>DE L’ACCOMPAGNEMENT ET DU PARCOURS</w:t>
      </w:r>
    </w:p>
    <w:p w14:paraId="43FE5790" w14:textId="0F72070F" w:rsidR="008E35D1" w:rsidRDefault="008E35D1" w:rsidP="008E35D1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E41CF9" w14:paraId="58D879BC" w14:textId="77777777" w:rsidTr="00E41CF9">
        <w:tc>
          <w:tcPr>
            <w:tcW w:w="5042" w:type="dxa"/>
          </w:tcPr>
          <w:p w14:paraId="3E3BFC1A" w14:textId="61FE39E6" w:rsidR="00E41CF9" w:rsidRDefault="001319A3" w:rsidP="009E7088">
            <w:pPr>
              <w:jc w:val="center"/>
              <w:rPr>
                <w:b/>
                <w:bCs/>
              </w:rPr>
            </w:pPr>
            <w:r w:rsidRPr="009E7088">
              <w:rPr>
                <w:b/>
                <w:bCs/>
              </w:rPr>
              <w:t>LA PHASE D’ACCUEIL</w:t>
            </w:r>
          </w:p>
          <w:p w14:paraId="3C9EFDAA" w14:textId="45EF4E51" w:rsidR="00536D3C" w:rsidRDefault="00A57CFD" w:rsidP="00A57CFD">
            <w:pPr>
              <w:jc w:val="both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sym w:font="Wingdings" w:char="F0D8"/>
            </w:r>
            <w:r w:rsidR="00A34710" w:rsidRPr="00F4277E">
              <w:rPr>
                <w:b/>
                <w:bCs/>
                <w:color w:val="4472C4" w:themeColor="accent1"/>
              </w:rPr>
              <w:t xml:space="preserve">Le diagnostic </w:t>
            </w:r>
            <w:r w:rsidR="005812B3" w:rsidRPr="00F4277E">
              <w:rPr>
                <w:b/>
                <w:bCs/>
                <w:color w:val="4472C4" w:themeColor="accent1"/>
              </w:rPr>
              <w:t>et la phase exploratoire sont</w:t>
            </w:r>
            <w:r w:rsidR="00A34710" w:rsidRPr="00F4277E">
              <w:rPr>
                <w:b/>
                <w:bCs/>
                <w:color w:val="4472C4" w:themeColor="accent1"/>
              </w:rPr>
              <w:t xml:space="preserve"> </w:t>
            </w:r>
            <w:r w:rsidR="00DB6567" w:rsidRPr="00F4277E">
              <w:rPr>
                <w:b/>
                <w:bCs/>
                <w:color w:val="4472C4" w:themeColor="accent1"/>
              </w:rPr>
              <w:t xml:space="preserve">le moment opportun pour poser </w:t>
            </w:r>
            <w:r w:rsidR="00F4277E" w:rsidRPr="00F4277E">
              <w:rPr>
                <w:b/>
                <w:bCs/>
                <w:color w:val="4472C4" w:themeColor="accent1"/>
              </w:rPr>
              <w:t>la situation et les axes de progrès</w:t>
            </w:r>
            <w:r w:rsidR="00145422">
              <w:rPr>
                <w:b/>
                <w:bCs/>
                <w:color w:val="4472C4" w:themeColor="accent1"/>
              </w:rPr>
              <w:t xml:space="preserve">. </w:t>
            </w:r>
          </w:p>
          <w:p w14:paraId="089C5F7B" w14:textId="77777777" w:rsidR="001C5310" w:rsidRDefault="001C5310" w:rsidP="00A57CFD">
            <w:pPr>
              <w:jc w:val="both"/>
              <w:rPr>
                <w:b/>
                <w:bCs/>
                <w:color w:val="4472C4" w:themeColor="accent1"/>
              </w:rPr>
            </w:pPr>
          </w:p>
          <w:p w14:paraId="305DC65C" w14:textId="19BA7BBD" w:rsidR="001C5310" w:rsidRDefault="00803609" w:rsidP="00A57CFD">
            <w:pPr>
              <w:jc w:val="both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sym w:font="Wingdings" w:char="F0D8"/>
            </w:r>
            <w:r w:rsidR="00BB2C11">
              <w:rPr>
                <w:b/>
                <w:bCs/>
                <w:color w:val="4472C4" w:themeColor="accent1"/>
              </w:rPr>
              <w:t>Les poser</w:t>
            </w:r>
            <w:r w:rsidR="000E1F26">
              <w:rPr>
                <w:b/>
                <w:bCs/>
                <w:color w:val="4472C4" w:themeColor="accent1"/>
              </w:rPr>
              <w:t xml:space="preserve"> </w:t>
            </w:r>
            <w:r w:rsidR="00536D3C">
              <w:rPr>
                <w:b/>
                <w:bCs/>
                <w:color w:val="4472C4" w:themeColor="accent1"/>
              </w:rPr>
              <w:t>dès</w:t>
            </w:r>
            <w:r w:rsidR="000E1F26">
              <w:rPr>
                <w:b/>
                <w:bCs/>
                <w:color w:val="4472C4" w:themeColor="accent1"/>
              </w:rPr>
              <w:t xml:space="preserve"> la phase d’accueil</w:t>
            </w:r>
            <w:r w:rsidR="00BB2C11">
              <w:rPr>
                <w:b/>
                <w:bCs/>
                <w:color w:val="4472C4" w:themeColor="accent1"/>
              </w:rPr>
              <w:t>,</w:t>
            </w:r>
            <w:r w:rsidR="000E1F26">
              <w:rPr>
                <w:b/>
                <w:bCs/>
                <w:color w:val="4472C4" w:themeColor="accent1"/>
              </w:rPr>
              <w:t xml:space="preserve"> y compris </w:t>
            </w:r>
            <w:r w:rsidR="00AA4B32">
              <w:rPr>
                <w:b/>
                <w:bCs/>
                <w:color w:val="4472C4" w:themeColor="accent1"/>
              </w:rPr>
              <w:t>quand ils</w:t>
            </w:r>
            <w:r w:rsidR="000E1F26">
              <w:rPr>
                <w:b/>
                <w:bCs/>
                <w:color w:val="4472C4" w:themeColor="accent1"/>
              </w:rPr>
              <w:t xml:space="preserve"> ne sont pas </w:t>
            </w:r>
            <w:r w:rsidR="00F5498D">
              <w:rPr>
                <w:b/>
                <w:bCs/>
                <w:color w:val="4472C4" w:themeColor="accent1"/>
              </w:rPr>
              <w:t>verbalisés par la personne mais identifiés par l’AE comme étant un potentiel risque dans le parcours</w:t>
            </w:r>
            <w:r w:rsidR="00BB2C11">
              <w:rPr>
                <w:b/>
                <w:bCs/>
                <w:color w:val="4472C4" w:themeColor="accent1"/>
              </w:rPr>
              <w:t xml:space="preserve">, </w:t>
            </w:r>
            <w:r w:rsidR="00D768D1">
              <w:rPr>
                <w:b/>
                <w:bCs/>
                <w:color w:val="4472C4" w:themeColor="accent1"/>
              </w:rPr>
              <w:t>permet</w:t>
            </w:r>
            <w:r w:rsidR="001C5310">
              <w:rPr>
                <w:b/>
                <w:bCs/>
                <w:color w:val="4472C4" w:themeColor="accent1"/>
              </w:rPr>
              <w:t> :</w:t>
            </w:r>
          </w:p>
          <w:p w14:paraId="2229BF54" w14:textId="77777777" w:rsidR="00352E78" w:rsidRDefault="00352E78" w:rsidP="00A57CFD">
            <w:pPr>
              <w:jc w:val="both"/>
              <w:rPr>
                <w:b/>
                <w:bCs/>
                <w:color w:val="4472C4" w:themeColor="accent1"/>
              </w:rPr>
            </w:pPr>
          </w:p>
          <w:p w14:paraId="55579978" w14:textId="15A87EAB" w:rsidR="001C5310" w:rsidRDefault="00352E78" w:rsidP="001C5310">
            <w:pPr>
              <w:jc w:val="both"/>
              <w:rPr>
                <w:b/>
                <w:bCs/>
                <w:color w:val="4472C4" w:themeColor="accent1"/>
              </w:rPr>
            </w:pPr>
            <w:r w:rsidRPr="003C110B">
              <w:rPr>
                <w:color w:val="4472C4" w:themeColor="accent1"/>
              </w:rPr>
              <w:sym w:font="Wingdings" w:char="F078"/>
            </w:r>
            <w:r w:rsidR="00B948D6" w:rsidRPr="001C5310">
              <w:rPr>
                <w:b/>
                <w:bCs/>
                <w:color w:val="4472C4" w:themeColor="accent1"/>
              </w:rPr>
              <w:t xml:space="preserve">d’être en alerte, </w:t>
            </w:r>
          </w:p>
          <w:p w14:paraId="5D3ADB0A" w14:textId="0F628363" w:rsidR="001C5310" w:rsidRDefault="00352E78" w:rsidP="001C5310">
            <w:pPr>
              <w:jc w:val="both"/>
              <w:rPr>
                <w:b/>
                <w:bCs/>
                <w:color w:val="4472C4" w:themeColor="accent1"/>
              </w:rPr>
            </w:pPr>
            <w:r w:rsidRPr="003C110B">
              <w:rPr>
                <w:color w:val="4472C4" w:themeColor="accent1"/>
              </w:rPr>
              <w:sym w:font="Wingdings" w:char="F078"/>
            </w:r>
            <w:r w:rsidR="00B948D6" w:rsidRPr="001C5310">
              <w:rPr>
                <w:b/>
                <w:bCs/>
                <w:color w:val="4472C4" w:themeColor="accent1"/>
              </w:rPr>
              <w:t>d</w:t>
            </w:r>
            <w:r w:rsidR="00E43C66" w:rsidRPr="001C5310">
              <w:rPr>
                <w:b/>
                <w:bCs/>
                <w:color w:val="4472C4" w:themeColor="accent1"/>
              </w:rPr>
              <w:t>’organiser le parcours en fonction</w:t>
            </w:r>
            <w:r w:rsidR="00733CD0" w:rsidRPr="001C5310">
              <w:rPr>
                <w:b/>
                <w:bCs/>
                <w:color w:val="4472C4" w:themeColor="accent1"/>
              </w:rPr>
              <w:t xml:space="preserve"> de l’axe</w:t>
            </w:r>
            <w:r w:rsidR="00E43C66" w:rsidRPr="001C5310">
              <w:rPr>
                <w:b/>
                <w:bCs/>
                <w:color w:val="4472C4" w:themeColor="accent1"/>
              </w:rPr>
              <w:t xml:space="preserve">, </w:t>
            </w:r>
            <w:r w:rsidRPr="003C110B">
              <w:rPr>
                <w:color w:val="4472C4" w:themeColor="accent1"/>
              </w:rPr>
              <w:sym w:font="Wingdings" w:char="F078"/>
            </w:r>
            <w:r w:rsidR="005C1AD9" w:rsidRPr="001C5310">
              <w:rPr>
                <w:b/>
                <w:bCs/>
                <w:color w:val="4472C4" w:themeColor="accent1"/>
              </w:rPr>
              <w:t>d’éclairer la</w:t>
            </w:r>
            <w:r w:rsidR="00175F25" w:rsidRPr="001C5310">
              <w:rPr>
                <w:b/>
                <w:bCs/>
                <w:color w:val="4472C4" w:themeColor="accent1"/>
              </w:rPr>
              <w:t xml:space="preserve"> possible mise en œuvre du parcours ou non, </w:t>
            </w:r>
          </w:p>
          <w:p w14:paraId="71001587" w14:textId="515735DF" w:rsidR="00A34710" w:rsidRPr="001C5310" w:rsidRDefault="00352E78" w:rsidP="001C5310">
            <w:pPr>
              <w:jc w:val="both"/>
              <w:rPr>
                <w:b/>
                <w:bCs/>
                <w:color w:val="4472C4" w:themeColor="accent1"/>
              </w:rPr>
            </w:pPr>
            <w:r w:rsidRPr="003C110B">
              <w:rPr>
                <w:color w:val="4472C4" w:themeColor="accent1"/>
              </w:rPr>
              <w:sym w:font="Wingdings" w:char="F078"/>
            </w:r>
            <w:r w:rsidR="00175F25" w:rsidRPr="001C5310">
              <w:rPr>
                <w:b/>
                <w:bCs/>
                <w:color w:val="4472C4" w:themeColor="accent1"/>
              </w:rPr>
              <w:t>de faciliter la lecture de la situation par la commission</w:t>
            </w:r>
            <w:r w:rsidR="003540A3" w:rsidRPr="001C5310">
              <w:rPr>
                <w:b/>
                <w:bCs/>
                <w:color w:val="4472C4" w:themeColor="accent1"/>
              </w:rPr>
              <w:t xml:space="preserve"> ou lors du transfert du dossier à un autre AE…</w:t>
            </w:r>
            <w:r w:rsidR="005C1AD9" w:rsidRPr="001C5310">
              <w:rPr>
                <w:b/>
                <w:bCs/>
                <w:color w:val="4472C4" w:themeColor="accent1"/>
              </w:rPr>
              <w:t xml:space="preserve"> </w:t>
            </w:r>
            <w:r w:rsidR="00F5498D" w:rsidRPr="001C5310">
              <w:rPr>
                <w:b/>
                <w:bCs/>
                <w:color w:val="4472C4" w:themeColor="accent1"/>
              </w:rPr>
              <w:t xml:space="preserve"> </w:t>
            </w:r>
          </w:p>
          <w:p w14:paraId="694C5194" w14:textId="77777777" w:rsidR="006C29CA" w:rsidRDefault="006C29CA" w:rsidP="00A57CFD">
            <w:pPr>
              <w:jc w:val="both"/>
              <w:rPr>
                <w:b/>
                <w:bCs/>
                <w:color w:val="4472C4" w:themeColor="accent1"/>
              </w:rPr>
            </w:pPr>
          </w:p>
          <w:p w14:paraId="5A077928" w14:textId="7BB61381" w:rsidR="00BF4DCF" w:rsidRPr="00F4277E" w:rsidRDefault="00AC1FB9" w:rsidP="00A57CFD">
            <w:pPr>
              <w:jc w:val="both"/>
              <w:rPr>
                <w:b/>
                <w:bCs/>
                <w:color w:val="4472C4" w:themeColor="accent1"/>
              </w:rPr>
            </w:pPr>
            <w:r w:rsidRPr="005E6AAF">
              <w:rPr>
                <w:rFonts w:eastAsia="Times New Roman"/>
                <w:shd w:val="clear" w:color="auto" w:fill="8DB3E2"/>
                <w:lang w:eastAsia="fr-FR"/>
              </w:rPr>
              <w:t>P (bleu)</w:t>
            </w:r>
          </w:p>
          <w:p w14:paraId="53DEFE6F" w14:textId="0022484A" w:rsidR="009E7088" w:rsidRPr="009E7088" w:rsidRDefault="009E7088" w:rsidP="009E7088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</w:tcPr>
          <w:p w14:paraId="33039985" w14:textId="77777777" w:rsidR="00E41CF9" w:rsidRDefault="001319A3" w:rsidP="009E7088">
            <w:pPr>
              <w:jc w:val="center"/>
              <w:rPr>
                <w:b/>
                <w:bCs/>
              </w:rPr>
            </w:pPr>
            <w:r w:rsidRPr="009E7088">
              <w:rPr>
                <w:b/>
                <w:bCs/>
              </w:rPr>
              <w:t xml:space="preserve">LA PHASE </w:t>
            </w:r>
            <w:r w:rsidR="00546245" w:rsidRPr="009E7088">
              <w:rPr>
                <w:b/>
                <w:bCs/>
              </w:rPr>
              <w:t>D’ACCOMPAGNEMENT</w:t>
            </w:r>
          </w:p>
          <w:p w14:paraId="6F191060" w14:textId="77777777" w:rsidR="002320B5" w:rsidRPr="006C29CA" w:rsidRDefault="00F226E1" w:rsidP="00F80E7E">
            <w:pPr>
              <w:rPr>
                <w:b/>
                <w:bCs/>
                <w:color w:val="ED7D31" w:themeColor="accent2"/>
              </w:rPr>
            </w:pPr>
            <w:r w:rsidRPr="006C29CA">
              <w:rPr>
                <w:b/>
                <w:bCs/>
                <w:color w:val="ED7D31" w:themeColor="accent2"/>
              </w:rPr>
              <w:sym w:font="Wingdings" w:char="F0D8"/>
            </w:r>
            <w:r w:rsidR="0023768A" w:rsidRPr="00C77DAA">
              <w:rPr>
                <w:b/>
                <w:bCs/>
                <w:color w:val="ED7D31" w:themeColor="accent2"/>
              </w:rPr>
              <w:t>Les axes de progrès font obligatoirement l’objet d’une évaluation régulière</w:t>
            </w:r>
            <w:r w:rsidR="00EE7B31" w:rsidRPr="006C29CA">
              <w:rPr>
                <w:b/>
                <w:bCs/>
                <w:color w:val="ED7D31" w:themeColor="accent2"/>
              </w:rPr>
              <w:t>.</w:t>
            </w:r>
          </w:p>
          <w:p w14:paraId="60E1D543" w14:textId="77777777" w:rsidR="00EE7B31" w:rsidRPr="006C29CA" w:rsidRDefault="00EE7B31" w:rsidP="00F80E7E">
            <w:pPr>
              <w:rPr>
                <w:b/>
                <w:bCs/>
                <w:color w:val="ED7D31" w:themeColor="accent2"/>
              </w:rPr>
            </w:pPr>
            <w:r w:rsidRPr="006C29CA">
              <w:rPr>
                <w:b/>
                <w:bCs/>
                <w:color w:val="ED7D31" w:themeColor="accent2"/>
              </w:rPr>
              <w:sym w:font="Wingdings" w:char="F0D8"/>
            </w:r>
            <w:r w:rsidRPr="00C77DAA">
              <w:rPr>
                <w:b/>
                <w:bCs/>
                <w:color w:val="ED7D31" w:themeColor="accent2"/>
              </w:rPr>
              <w:t>Le rythme est à déterminer avec l’adhérent et en fonction du frein, et les dates sont prévues à l’avance</w:t>
            </w:r>
            <w:r w:rsidR="00312804" w:rsidRPr="006C29CA">
              <w:rPr>
                <w:b/>
                <w:bCs/>
                <w:color w:val="ED7D31" w:themeColor="accent2"/>
              </w:rPr>
              <w:t>.</w:t>
            </w:r>
          </w:p>
          <w:p w14:paraId="0B4A79D9" w14:textId="6B215D2D" w:rsidR="00312804" w:rsidRPr="006C29CA" w:rsidRDefault="00312804" w:rsidP="00F2295B">
            <w:pPr>
              <w:ind w:left="57" w:right="57"/>
              <w:jc w:val="both"/>
              <w:rPr>
                <w:b/>
                <w:bCs/>
                <w:color w:val="ED7D31" w:themeColor="accent2"/>
              </w:rPr>
            </w:pPr>
            <w:r w:rsidRPr="006C29CA">
              <w:rPr>
                <w:b/>
                <w:bCs/>
                <w:color w:val="ED7D31" w:themeColor="accent2"/>
              </w:rPr>
              <w:sym w:font="Wingdings" w:char="F0D8"/>
            </w:r>
            <w:r w:rsidRPr="00C77DAA">
              <w:rPr>
                <w:b/>
                <w:bCs/>
                <w:color w:val="ED7D31" w:themeColor="accent2"/>
              </w:rPr>
              <w:t>Un entretien ou une partie d’entretien sera dédié à l’évaluation de la progression de l’adhérent sur 1 ou plusieurs axes de progrès.</w:t>
            </w:r>
          </w:p>
          <w:p w14:paraId="53E0887C" w14:textId="15FA7049" w:rsidR="004B67B5" w:rsidRDefault="004B67B5" w:rsidP="004B67B5">
            <w:pPr>
              <w:rPr>
                <w:b/>
                <w:bCs/>
                <w:color w:val="ED7D31" w:themeColor="accent2"/>
              </w:rPr>
            </w:pPr>
            <w:r w:rsidRPr="006C29CA">
              <w:rPr>
                <w:b/>
                <w:bCs/>
                <w:color w:val="ED7D31" w:themeColor="accent2"/>
              </w:rPr>
              <w:sym w:font="Wingdings" w:char="F0D8"/>
            </w:r>
            <w:r w:rsidRPr="006C29CA">
              <w:rPr>
                <w:b/>
                <w:bCs/>
                <w:color w:val="ED7D31" w:themeColor="accent2"/>
              </w:rPr>
              <w:t xml:space="preserve">L’axe de progrès </w:t>
            </w:r>
            <w:r w:rsidR="00424056" w:rsidRPr="006C29CA">
              <w:rPr>
                <w:b/>
                <w:bCs/>
                <w:color w:val="ED7D31" w:themeColor="accent2"/>
              </w:rPr>
              <w:t>devra</w:t>
            </w:r>
            <w:r w:rsidRPr="006C29CA">
              <w:rPr>
                <w:b/>
                <w:bCs/>
                <w:color w:val="ED7D31" w:themeColor="accent2"/>
              </w:rPr>
              <w:t xml:space="preserve"> </w:t>
            </w:r>
            <w:r w:rsidR="00424056" w:rsidRPr="006C29CA">
              <w:rPr>
                <w:b/>
                <w:bCs/>
                <w:color w:val="ED7D31" w:themeColor="accent2"/>
              </w:rPr>
              <w:t xml:space="preserve">être </w:t>
            </w:r>
            <w:r w:rsidRPr="006C29CA">
              <w:rPr>
                <w:b/>
                <w:bCs/>
                <w:color w:val="ED7D31" w:themeColor="accent2"/>
              </w:rPr>
              <w:t xml:space="preserve">formalisé sous la forme d’un objectif. Un indicateur </w:t>
            </w:r>
            <w:r w:rsidR="00424056" w:rsidRPr="006C29CA">
              <w:rPr>
                <w:b/>
                <w:bCs/>
                <w:color w:val="ED7D31" w:themeColor="accent2"/>
              </w:rPr>
              <w:t xml:space="preserve">de progression / de réalisation est </w:t>
            </w:r>
            <w:r w:rsidR="009B1F7A">
              <w:rPr>
                <w:b/>
                <w:bCs/>
                <w:color w:val="ED7D31" w:themeColor="accent2"/>
              </w:rPr>
              <w:t>clairement identifié</w:t>
            </w:r>
            <w:r w:rsidR="00424056" w:rsidRPr="006C29CA">
              <w:rPr>
                <w:b/>
                <w:bCs/>
                <w:color w:val="ED7D31" w:themeColor="accent2"/>
              </w:rPr>
              <w:t>.</w:t>
            </w:r>
          </w:p>
          <w:p w14:paraId="36B1FEDF" w14:textId="77777777" w:rsidR="00AD537E" w:rsidRDefault="00AD537E" w:rsidP="004B67B5">
            <w:pPr>
              <w:rPr>
                <w:color w:val="ED7D31" w:themeColor="accent2"/>
              </w:rPr>
            </w:pPr>
          </w:p>
          <w:p w14:paraId="55133F65" w14:textId="110CDBC0" w:rsidR="00AD537E" w:rsidRDefault="00802BFC" w:rsidP="002D7D06">
            <w:pPr>
              <w:spacing w:after="120"/>
              <w:jc w:val="both"/>
              <w:rPr>
                <w:rFonts w:eastAsia="Times New Roman"/>
                <w:shd w:val="clear" w:color="auto" w:fill="FFC000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sym w:font="Wingdings" w:char="F0D8"/>
            </w:r>
            <w:r w:rsidR="00AD537E" w:rsidRPr="00AD537E">
              <w:rPr>
                <w:rFonts w:ascii="Calibri" w:eastAsia="Times New Roman" w:hAnsi="Calibri" w:cs="Times New Roman"/>
                <w:lang w:eastAsia="fr-FR"/>
              </w:rPr>
              <w:t xml:space="preserve">dès lors que l’adhérent </w:t>
            </w:r>
            <w:r>
              <w:rPr>
                <w:rFonts w:ascii="Calibri" w:eastAsia="Times New Roman" w:hAnsi="Calibri" w:cs="Times New Roman"/>
                <w:lang w:eastAsia="fr-FR"/>
              </w:rPr>
              <w:t>accepte</w:t>
            </w:r>
            <w:r w:rsidR="00AD537E" w:rsidRPr="00AD537E">
              <w:rPr>
                <w:rFonts w:ascii="Calibri" w:eastAsia="Times New Roman" w:hAnsi="Calibri" w:cs="Times New Roman"/>
                <w:lang w:eastAsia="fr-FR"/>
              </w:rPr>
              <w:t xml:space="preserve"> de mettre en œuvre une action en rapport avec ce frein</w:t>
            </w:r>
            <w:r w:rsidR="003A46CF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2D7D06" w:rsidRPr="00E27184">
              <w:rPr>
                <w:rFonts w:eastAsia="Times New Roman"/>
                <w:shd w:val="clear" w:color="auto" w:fill="FFC000"/>
                <w:lang w:eastAsia="fr-FR"/>
              </w:rPr>
              <w:t>ER (jaune/orange)</w:t>
            </w:r>
          </w:p>
          <w:p w14:paraId="35571F14" w14:textId="6E9F27B4" w:rsidR="00213C45" w:rsidRDefault="00213C45" w:rsidP="002D7D06">
            <w:pPr>
              <w:spacing w:after="120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sym w:font="Wingdings" w:char="F0D8"/>
            </w:r>
            <w:r w:rsidRPr="00AD537E">
              <w:rPr>
                <w:rFonts w:ascii="Calibri" w:eastAsia="Times New Roman" w:hAnsi="Calibri" w:cs="Times New Roman"/>
                <w:lang w:eastAsia="fr-FR"/>
              </w:rPr>
              <w:t xml:space="preserve">dès lors que l’adhérent </w:t>
            </w:r>
            <w:r>
              <w:rPr>
                <w:rFonts w:ascii="Calibri" w:eastAsia="Times New Roman" w:hAnsi="Calibri" w:cs="Times New Roman"/>
                <w:lang w:eastAsia="fr-FR"/>
              </w:rPr>
              <w:t>refuse</w:t>
            </w:r>
            <w:r w:rsidRPr="00AD537E">
              <w:rPr>
                <w:rFonts w:ascii="Calibri" w:eastAsia="Times New Roman" w:hAnsi="Calibri" w:cs="Times New Roman"/>
                <w:lang w:eastAsia="fr-FR"/>
              </w:rPr>
              <w:t xml:space="preserve"> de mettre en œuvre une action en rapport avec ce frein</w:t>
            </w:r>
            <w:r w:rsidR="008847CA">
              <w:rPr>
                <w:rFonts w:ascii="Calibri" w:eastAsia="Times New Roman" w:hAnsi="Calibri" w:cs="Times New Roman"/>
                <w:lang w:eastAsia="fr-FR"/>
              </w:rPr>
              <w:t>, qu’il ne veut plus ou ne peut plus y travailler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8847CA" w:rsidRPr="005E6AAF">
              <w:rPr>
                <w:rFonts w:eastAsia="Times New Roman"/>
                <w:shd w:val="clear" w:color="auto" w:fill="D99594"/>
                <w:lang w:eastAsia="fr-FR"/>
              </w:rPr>
              <w:t>NR (rouge)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</w:p>
          <w:p w14:paraId="6AC310F6" w14:textId="109C592F" w:rsidR="00852E49" w:rsidRPr="00AD537E" w:rsidRDefault="002C1ABE" w:rsidP="002D7D06">
            <w:pPr>
              <w:spacing w:after="120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sym w:font="Wingdings" w:char="F0D8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dès lors que le frein est résolu : </w:t>
            </w:r>
            <w:r w:rsidR="00543F0F" w:rsidRPr="00E27184">
              <w:rPr>
                <w:rFonts w:eastAsia="Times New Roman"/>
                <w:shd w:val="clear" w:color="auto" w:fill="92D050"/>
                <w:lang w:eastAsia="fr-FR"/>
              </w:rPr>
              <w:t>R (vert)</w:t>
            </w:r>
          </w:p>
          <w:p w14:paraId="2CD3B8A6" w14:textId="67E0D0AA" w:rsidR="00AD537E" w:rsidRPr="004B67B5" w:rsidRDefault="00AD537E" w:rsidP="004B67B5"/>
        </w:tc>
        <w:tc>
          <w:tcPr>
            <w:tcW w:w="5042" w:type="dxa"/>
          </w:tcPr>
          <w:p w14:paraId="469A342E" w14:textId="77777777" w:rsidR="00E41CF9" w:rsidRDefault="00546245" w:rsidP="009E7088">
            <w:pPr>
              <w:jc w:val="center"/>
              <w:rPr>
                <w:b/>
                <w:bCs/>
              </w:rPr>
            </w:pPr>
            <w:r w:rsidRPr="009E7088">
              <w:rPr>
                <w:b/>
                <w:bCs/>
              </w:rPr>
              <w:t>LA PHASE DE SORTIE</w:t>
            </w:r>
          </w:p>
          <w:p w14:paraId="486DD949" w14:textId="77777777" w:rsidR="003435AF" w:rsidRDefault="003435AF" w:rsidP="00F94FFC">
            <w:pPr>
              <w:jc w:val="both"/>
              <w:rPr>
                <w:rFonts w:eastAsia="Times New Roman"/>
                <w:lang w:eastAsia="fr-FR"/>
              </w:rPr>
            </w:pPr>
            <w:r w:rsidRPr="008F4A2B">
              <w:rPr>
                <w:rFonts w:eastAsia="Times New Roman"/>
                <w:lang w:eastAsia="fr-FR"/>
              </w:rPr>
              <w:t>L’ensemble des axes doit être clos sur chaque dossier individuel au moment de sa présentation en commission de sortie.</w:t>
            </w:r>
          </w:p>
          <w:p w14:paraId="1DD061BF" w14:textId="77777777" w:rsidR="000C0B72" w:rsidRDefault="000C0B72" w:rsidP="00F94FFC">
            <w:pPr>
              <w:jc w:val="both"/>
              <w:rPr>
                <w:rFonts w:eastAsia="Times New Roman"/>
                <w:lang w:eastAsia="fr-FR"/>
              </w:rPr>
            </w:pPr>
          </w:p>
          <w:p w14:paraId="6EFB4DDB" w14:textId="77777777" w:rsidR="000C0B72" w:rsidRDefault="000C0B72" w:rsidP="00F94FFC">
            <w:pPr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La chronologie du suivi des axes de progrès </w:t>
            </w:r>
            <w:r w:rsidR="00CD63C4">
              <w:rPr>
                <w:rFonts w:eastAsia="Times New Roman"/>
                <w:lang w:eastAsia="fr-FR"/>
              </w:rPr>
              <w:t xml:space="preserve">vise à </w:t>
            </w:r>
            <w:r w:rsidR="00016F68">
              <w:rPr>
                <w:rFonts w:eastAsia="Times New Roman"/>
                <w:lang w:eastAsia="fr-FR"/>
              </w:rPr>
              <w:t xml:space="preserve">faciliter la compréhension </w:t>
            </w:r>
            <w:r w:rsidR="00CD63C4">
              <w:rPr>
                <w:rFonts w:eastAsia="Times New Roman"/>
                <w:lang w:eastAsia="fr-FR"/>
              </w:rPr>
              <w:t xml:space="preserve">du parcours et des difficultés </w:t>
            </w:r>
            <w:r w:rsidR="00F94FFC">
              <w:rPr>
                <w:rFonts w:eastAsia="Times New Roman"/>
                <w:lang w:eastAsia="fr-FR"/>
              </w:rPr>
              <w:t xml:space="preserve">rencontrées et </w:t>
            </w:r>
            <w:r w:rsidR="00CD63C4">
              <w:rPr>
                <w:rFonts w:eastAsia="Times New Roman"/>
                <w:lang w:eastAsia="fr-FR"/>
              </w:rPr>
              <w:t>qui l’ont impacté.</w:t>
            </w:r>
          </w:p>
          <w:p w14:paraId="6382293E" w14:textId="77777777" w:rsidR="000E5126" w:rsidRDefault="000E5126" w:rsidP="00F94FFC">
            <w:pPr>
              <w:jc w:val="both"/>
              <w:rPr>
                <w:rFonts w:eastAsia="Times New Roman"/>
                <w:lang w:eastAsia="fr-FR"/>
              </w:rPr>
            </w:pPr>
          </w:p>
          <w:p w14:paraId="515F875A" w14:textId="73A61D11" w:rsidR="000E5126" w:rsidRPr="003435AF" w:rsidRDefault="00F25570" w:rsidP="00F94FFC">
            <w:pPr>
              <w:jc w:val="both"/>
            </w:pPr>
            <w:r>
              <w:rPr>
                <w:rFonts w:eastAsia="Times New Roman"/>
                <w:lang w:eastAsia="fr-FR"/>
              </w:rPr>
              <w:t xml:space="preserve">La bonne saisie des axes et le suivi </w:t>
            </w:r>
            <w:r w:rsidR="00566988">
              <w:rPr>
                <w:rFonts w:eastAsia="Times New Roman"/>
                <w:lang w:eastAsia="fr-FR"/>
              </w:rPr>
              <w:t xml:space="preserve">régulier </w:t>
            </w:r>
            <w:r>
              <w:rPr>
                <w:rFonts w:eastAsia="Times New Roman"/>
                <w:lang w:eastAsia="fr-FR"/>
              </w:rPr>
              <w:t>permet</w:t>
            </w:r>
            <w:r w:rsidR="00566988">
              <w:rPr>
                <w:rFonts w:eastAsia="Times New Roman"/>
                <w:lang w:eastAsia="fr-FR"/>
              </w:rPr>
              <w:t>tent</w:t>
            </w:r>
            <w:r>
              <w:rPr>
                <w:rFonts w:eastAsia="Times New Roman"/>
                <w:lang w:eastAsia="fr-FR"/>
              </w:rPr>
              <w:t xml:space="preserve"> de justifier </w:t>
            </w:r>
            <w:r w:rsidR="00991FC8">
              <w:rPr>
                <w:rFonts w:eastAsia="Times New Roman"/>
                <w:lang w:eastAsia="fr-FR"/>
              </w:rPr>
              <w:t xml:space="preserve">l’issue </w:t>
            </w:r>
            <w:r w:rsidR="00325809">
              <w:rPr>
                <w:rFonts w:eastAsia="Times New Roman"/>
                <w:lang w:eastAsia="fr-FR"/>
              </w:rPr>
              <w:t>d’un parcours.</w:t>
            </w:r>
          </w:p>
        </w:tc>
      </w:tr>
      <w:tr w:rsidR="00E41CF9" w14:paraId="62C9CACE" w14:textId="77777777" w:rsidTr="00E41CF9">
        <w:tc>
          <w:tcPr>
            <w:tcW w:w="5042" w:type="dxa"/>
          </w:tcPr>
          <w:p w14:paraId="52B48411" w14:textId="269E8D98" w:rsidR="00E41CF9" w:rsidRDefault="00BD4D1F" w:rsidP="008E35D1">
            <w:r>
              <w:lastRenderedPageBreak/>
              <w:t>-</w:t>
            </w:r>
            <w:r w:rsidR="009E7088">
              <w:t>La personne</w:t>
            </w:r>
            <w:r w:rsidR="00A016F3" w:rsidRPr="009E7088">
              <w:t xml:space="preserve"> </w:t>
            </w:r>
            <w:r w:rsidR="009E7088">
              <w:t xml:space="preserve">verbalise </w:t>
            </w:r>
            <w:r w:rsidR="00E21D11">
              <w:t>son/ses frein.s</w:t>
            </w:r>
            <w:r w:rsidR="003575AE">
              <w:t xml:space="preserve"> et accepte </w:t>
            </w:r>
            <w:r>
              <w:t>d’y travailler.</w:t>
            </w:r>
          </w:p>
          <w:p w14:paraId="2BAABD96" w14:textId="19DA2F27" w:rsidR="005430D9" w:rsidRDefault="005430D9" w:rsidP="008E35D1">
            <w:r>
              <w:t>-La personne verbalise son</w:t>
            </w:r>
            <w:r w:rsidR="007078E8">
              <w:t>/ses frein.s mais n’est pas prêt</w:t>
            </w:r>
            <w:r w:rsidR="00232A76">
              <w:t>e</w:t>
            </w:r>
            <w:r w:rsidR="007078E8">
              <w:t xml:space="preserve"> à engager un travail dessus.</w:t>
            </w:r>
          </w:p>
          <w:p w14:paraId="42146E67" w14:textId="1CD7C7BF" w:rsidR="00F10B7A" w:rsidRDefault="00F10B7A" w:rsidP="008E35D1">
            <w:r>
              <w:t xml:space="preserve">-L’AE identifie un </w:t>
            </w:r>
            <w:r w:rsidR="00042A6B">
              <w:t xml:space="preserve">ou </w:t>
            </w:r>
            <w:r w:rsidR="00EB7201">
              <w:t xml:space="preserve">plusieurs </w:t>
            </w:r>
            <w:r>
              <w:t>frein</w:t>
            </w:r>
            <w:r w:rsidR="00EB7201">
              <w:t>s</w:t>
            </w:r>
            <w:r>
              <w:t xml:space="preserve"> non verbalisé</w:t>
            </w:r>
            <w:r w:rsidR="00EB7201">
              <w:t>s</w:t>
            </w:r>
            <w:r>
              <w:t xml:space="preserve"> par la personne.</w:t>
            </w:r>
          </w:p>
          <w:p w14:paraId="1D16B432" w14:textId="5EB318C0" w:rsidR="00344B4A" w:rsidRDefault="00344B4A" w:rsidP="008E35D1">
            <w:r>
              <w:t>-Le prescripteur avance un frein à travailler</w:t>
            </w:r>
            <w:r w:rsidR="00B948D6">
              <w:t>.</w:t>
            </w:r>
          </w:p>
          <w:p w14:paraId="17C95E7C" w14:textId="3B51EC7A" w:rsidR="003540A3" w:rsidRDefault="003540A3" w:rsidP="008E35D1">
            <w:r>
              <w:t>-</w:t>
            </w:r>
            <w:r w:rsidR="001F2376">
              <w:t>Un partenaire relève un frein non identifié/exprimé…</w:t>
            </w:r>
          </w:p>
          <w:p w14:paraId="5D2C1C3E" w14:textId="77777777" w:rsidR="00B948D6" w:rsidRDefault="00B948D6" w:rsidP="008E35D1"/>
          <w:p w14:paraId="4C04B0C1" w14:textId="77777777" w:rsidR="00F10B7A" w:rsidRDefault="00F10B7A" w:rsidP="008E35D1"/>
          <w:p w14:paraId="03C30CAC" w14:textId="56F6BCC4" w:rsidR="00BD4D1F" w:rsidRPr="009E7088" w:rsidRDefault="00BD4D1F" w:rsidP="008E35D1"/>
        </w:tc>
        <w:tc>
          <w:tcPr>
            <w:tcW w:w="5042" w:type="dxa"/>
          </w:tcPr>
          <w:p w14:paraId="00A20F1A" w14:textId="77777777" w:rsidR="00E41CF9" w:rsidRDefault="00442427" w:rsidP="008E35D1">
            <w:r>
              <w:t>Un axe de progrès fermé peut amen</w:t>
            </w:r>
            <w:r w:rsidR="00B42FA8">
              <w:t xml:space="preserve">er l’ouverture d’un </w:t>
            </w:r>
            <w:r w:rsidR="001441F5">
              <w:t>nouvel axe de progrès sur la même thématique</w:t>
            </w:r>
            <w:r w:rsidR="00E1021A">
              <w:t>.</w:t>
            </w:r>
            <w:r w:rsidR="00B42FA8">
              <w:t xml:space="preserve"> </w:t>
            </w:r>
          </w:p>
          <w:p w14:paraId="642A156F" w14:textId="187A723A" w:rsidR="00E1021A" w:rsidRDefault="00E1021A" w:rsidP="00E1021A">
            <w:pPr>
              <w:jc w:val="both"/>
              <w:rPr>
                <w:rFonts w:eastAsia="Times New Roman"/>
                <w:shd w:val="clear" w:color="auto" w:fill="FFC000"/>
                <w:lang w:eastAsia="fr-FR"/>
              </w:rPr>
            </w:pPr>
            <w:r w:rsidRPr="005E6AAF">
              <w:rPr>
                <w:rFonts w:eastAsia="Times New Roman"/>
                <w:shd w:val="clear" w:color="auto" w:fill="8DB3E2"/>
                <w:lang w:eastAsia="fr-FR"/>
              </w:rPr>
              <w:t>P (bleu)</w:t>
            </w:r>
            <w:r w:rsidRPr="00E27184">
              <w:rPr>
                <w:rFonts w:eastAsia="Times New Roman"/>
                <w:shd w:val="clear" w:color="auto" w:fill="FFC000"/>
                <w:lang w:eastAsia="fr-FR"/>
              </w:rPr>
              <w:t xml:space="preserve"> ER (jaune/orange)</w:t>
            </w:r>
            <w:r w:rsidRPr="00E27184">
              <w:rPr>
                <w:rFonts w:eastAsia="Times New Roman"/>
                <w:shd w:val="clear" w:color="auto" w:fill="92D050"/>
                <w:lang w:eastAsia="fr-FR"/>
              </w:rPr>
              <w:t xml:space="preserve"> R (vert)</w:t>
            </w:r>
            <w:r w:rsidR="0009735D" w:rsidRPr="00E27184">
              <w:rPr>
                <w:rFonts w:eastAsia="Times New Roman"/>
                <w:shd w:val="clear" w:color="auto" w:fill="FFC000"/>
                <w:lang w:eastAsia="fr-FR"/>
              </w:rPr>
              <w:t xml:space="preserve"> ER (jaune/orange)</w:t>
            </w:r>
          </w:p>
          <w:p w14:paraId="2C7CE686" w14:textId="4EA47925" w:rsidR="0009735D" w:rsidRDefault="0009735D" w:rsidP="00E1021A">
            <w:pPr>
              <w:jc w:val="both"/>
              <w:rPr>
                <w:rFonts w:eastAsia="Times New Roman"/>
                <w:b/>
                <w:bCs/>
                <w:color w:val="4472C4" w:themeColor="accent1"/>
                <w:shd w:val="clear" w:color="auto" w:fill="FFC000"/>
                <w:lang w:eastAsia="fr-FR"/>
              </w:rPr>
            </w:pPr>
          </w:p>
          <w:p w14:paraId="5E43B6DA" w14:textId="39668D15" w:rsidR="0009735D" w:rsidRPr="00F4277E" w:rsidRDefault="0009735D" w:rsidP="0009735D">
            <w:pPr>
              <w:jc w:val="both"/>
              <w:rPr>
                <w:b/>
                <w:bCs/>
                <w:color w:val="4472C4" w:themeColor="accent1"/>
              </w:rPr>
            </w:pPr>
            <w:r w:rsidRPr="005E6AAF">
              <w:rPr>
                <w:rFonts w:eastAsia="Times New Roman"/>
                <w:shd w:val="clear" w:color="auto" w:fill="8DB3E2"/>
                <w:lang w:eastAsia="fr-FR"/>
              </w:rPr>
              <w:t>P (bleu)</w:t>
            </w:r>
            <w:r w:rsidR="00DD29F1" w:rsidRPr="005E6AAF">
              <w:rPr>
                <w:rFonts w:eastAsia="Times New Roman"/>
                <w:shd w:val="clear" w:color="auto" w:fill="D99594"/>
                <w:lang w:eastAsia="fr-FR"/>
              </w:rPr>
              <w:t xml:space="preserve"> NR (rouge)</w:t>
            </w:r>
            <w:r w:rsidR="00DD29F1" w:rsidRPr="00E27184">
              <w:rPr>
                <w:rFonts w:eastAsia="Times New Roman"/>
                <w:shd w:val="clear" w:color="auto" w:fill="FFC000"/>
                <w:lang w:eastAsia="fr-FR"/>
              </w:rPr>
              <w:t xml:space="preserve"> ER (jaune/orange)</w:t>
            </w:r>
            <w:r w:rsidR="00406408" w:rsidRPr="00E27184">
              <w:rPr>
                <w:rFonts w:eastAsia="Times New Roman"/>
                <w:shd w:val="clear" w:color="auto" w:fill="92D050"/>
                <w:lang w:eastAsia="fr-FR"/>
              </w:rPr>
              <w:t xml:space="preserve"> R (vert)</w:t>
            </w:r>
            <w:r w:rsidR="00DD29F1">
              <w:rPr>
                <w:rFonts w:ascii="Calibri" w:eastAsia="Times New Roman" w:hAnsi="Calibri" w:cs="Times New Roman"/>
                <w:lang w:eastAsia="fr-FR"/>
              </w:rPr>
              <w:t> </w:t>
            </w:r>
          </w:p>
          <w:p w14:paraId="16C871D0" w14:textId="77777777" w:rsidR="0009735D" w:rsidRPr="00F4277E" w:rsidRDefault="0009735D" w:rsidP="00E1021A">
            <w:pPr>
              <w:jc w:val="both"/>
              <w:rPr>
                <w:b/>
                <w:bCs/>
                <w:color w:val="4472C4" w:themeColor="accent1"/>
              </w:rPr>
            </w:pPr>
          </w:p>
          <w:p w14:paraId="6CC9E11F" w14:textId="30C1CBBC" w:rsidR="00E1021A" w:rsidRPr="00E1021A" w:rsidRDefault="00620AAC" w:rsidP="00E1021A">
            <w:r>
              <w:t>Le travail sur l’évaluation de l’axe de progrès pourra être formalisé dans visual sous l’intitulé « suivi interne »</w:t>
            </w:r>
          </w:p>
        </w:tc>
        <w:tc>
          <w:tcPr>
            <w:tcW w:w="5042" w:type="dxa"/>
          </w:tcPr>
          <w:p w14:paraId="17CE5CC6" w14:textId="77777777" w:rsidR="00E41CF9" w:rsidRPr="009E7088" w:rsidRDefault="00E41CF9" w:rsidP="008E35D1"/>
        </w:tc>
      </w:tr>
    </w:tbl>
    <w:p w14:paraId="24857277" w14:textId="77777777" w:rsidR="008E35D1" w:rsidRPr="008E35D1" w:rsidRDefault="008E35D1" w:rsidP="008E35D1">
      <w:pPr>
        <w:rPr>
          <w:b/>
          <w:bCs/>
          <w:u w:val="single"/>
        </w:rPr>
      </w:pPr>
    </w:p>
    <w:sectPr w:rsidR="008E35D1" w:rsidRPr="008E35D1" w:rsidSect="00FF6B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8B5"/>
    <w:multiLevelType w:val="hybridMultilevel"/>
    <w:tmpl w:val="6A3856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951"/>
    <w:multiLevelType w:val="hybridMultilevel"/>
    <w:tmpl w:val="1066671E"/>
    <w:lvl w:ilvl="0" w:tplc="B87AA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49DC"/>
    <w:multiLevelType w:val="hybridMultilevel"/>
    <w:tmpl w:val="5DACE9EA"/>
    <w:lvl w:ilvl="0" w:tplc="085CF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B69C4"/>
    <w:multiLevelType w:val="hybridMultilevel"/>
    <w:tmpl w:val="3E908C24"/>
    <w:lvl w:ilvl="0" w:tplc="1EEA4C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1E4C"/>
    <w:multiLevelType w:val="hybridMultilevel"/>
    <w:tmpl w:val="D75429D4"/>
    <w:lvl w:ilvl="0" w:tplc="2FECD8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00679">
    <w:abstractNumId w:val="1"/>
  </w:num>
  <w:num w:numId="2" w16cid:durableId="386682426">
    <w:abstractNumId w:val="3"/>
  </w:num>
  <w:num w:numId="3" w16cid:durableId="936598360">
    <w:abstractNumId w:val="4"/>
  </w:num>
  <w:num w:numId="4" w16cid:durableId="106656680">
    <w:abstractNumId w:val="0"/>
  </w:num>
  <w:num w:numId="5" w16cid:durableId="89489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C4"/>
    <w:rsid w:val="00016F68"/>
    <w:rsid w:val="000312C2"/>
    <w:rsid w:val="00042A6B"/>
    <w:rsid w:val="00051D77"/>
    <w:rsid w:val="00056418"/>
    <w:rsid w:val="00061FD2"/>
    <w:rsid w:val="00063B86"/>
    <w:rsid w:val="000808B1"/>
    <w:rsid w:val="000866A3"/>
    <w:rsid w:val="000905BB"/>
    <w:rsid w:val="0009735D"/>
    <w:rsid w:val="000B633A"/>
    <w:rsid w:val="000B6F88"/>
    <w:rsid w:val="000C0B72"/>
    <w:rsid w:val="000E1F26"/>
    <w:rsid w:val="000E5126"/>
    <w:rsid w:val="000E72C8"/>
    <w:rsid w:val="001038F6"/>
    <w:rsid w:val="00124E89"/>
    <w:rsid w:val="001319A3"/>
    <w:rsid w:val="00140704"/>
    <w:rsid w:val="001441F5"/>
    <w:rsid w:val="00145422"/>
    <w:rsid w:val="00165784"/>
    <w:rsid w:val="00175F25"/>
    <w:rsid w:val="001905EA"/>
    <w:rsid w:val="001943D5"/>
    <w:rsid w:val="001B70C4"/>
    <w:rsid w:val="001C5310"/>
    <w:rsid w:val="001E7AF0"/>
    <w:rsid w:val="001F2376"/>
    <w:rsid w:val="001F57EF"/>
    <w:rsid w:val="00200968"/>
    <w:rsid w:val="002063F3"/>
    <w:rsid w:val="00212BE7"/>
    <w:rsid w:val="00213C45"/>
    <w:rsid w:val="002155DD"/>
    <w:rsid w:val="00225AAB"/>
    <w:rsid w:val="002320B5"/>
    <w:rsid w:val="00232A76"/>
    <w:rsid w:val="0023768A"/>
    <w:rsid w:val="00242922"/>
    <w:rsid w:val="0027317D"/>
    <w:rsid w:val="002A0E41"/>
    <w:rsid w:val="002B5F66"/>
    <w:rsid w:val="002C10D0"/>
    <w:rsid w:val="002C1ABE"/>
    <w:rsid w:val="002D7D06"/>
    <w:rsid w:val="002E46BA"/>
    <w:rsid w:val="002F2631"/>
    <w:rsid w:val="00304042"/>
    <w:rsid w:val="00312804"/>
    <w:rsid w:val="003142DA"/>
    <w:rsid w:val="00325809"/>
    <w:rsid w:val="003435AF"/>
    <w:rsid w:val="00344B4A"/>
    <w:rsid w:val="00352E78"/>
    <w:rsid w:val="003540A3"/>
    <w:rsid w:val="0035581A"/>
    <w:rsid w:val="003575AE"/>
    <w:rsid w:val="003A46CF"/>
    <w:rsid w:val="003B22C6"/>
    <w:rsid w:val="003C08BF"/>
    <w:rsid w:val="003C110B"/>
    <w:rsid w:val="003C3C0F"/>
    <w:rsid w:val="00406408"/>
    <w:rsid w:val="00424056"/>
    <w:rsid w:val="00442427"/>
    <w:rsid w:val="004553B5"/>
    <w:rsid w:val="00467756"/>
    <w:rsid w:val="00484641"/>
    <w:rsid w:val="004903E1"/>
    <w:rsid w:val="00490DD1"/>
    <w:rsid w:val="00497CCD"/>
    <w:rsid w:val="004B252C"/>
    <w:rsid w:val="004B2CAF"/>
    <w:rsid w:val="004B67B5"/>
    <w:rsid w:val="004C0578"/>
    <w:rsid w:val="004C2204"/>
    <w:rsid w:val="004C7CBB"/>
    <w:rsid w:val="004E0EBC"/>
    <w:rsid w:val="004E4F1B"/>
    <w:rsid w:val="004E661B"/>
    <w:rsid w:val="0051620A"/>
    <w:rsid w:val="00534915"/>
    <w:rsid w:val="00535C4A"/>
    <w:rsid w:val="00536D3C"/>
    <w:rsid w:val="005430D9"/>
    <w:rsid w:val="00543F0F"/>
    <w:rsid w:val="00546245"/>
    <w:rsid w:val="00566988"/>
    <w:rsid w:val="005812B3"/>
    <w:rsid w:val="00593618"/>
    <w:rsid w:val="005A6324"/>
    <w:rsid w:val="005C1AD9"/>
    <w:rsid w:val="005D3897"/>
    <w:rsid w:val="005D5440"/>
    <w:rsid w:val="005F4F0D"/>
    <w:rsid w:val="0060005D"/>
    <w:rsid w:val="00620AAC"/>
    <w:rsid w:val="006454DD"/>
    <w:rsid w:val="006761E5"/>
    <w:rsid w:val="00694D3B"/>
    <w:rsid w:val="006B0331"/>
    <w:rsid w:val="006C29CA"/>
    <w:rsid w:val="006E5025"/>
    <w:rsid w:val="006F1B91"/>
    <w:rsid w:val="006F25C6"/>
    <w:rsid w:val="007022E2"/>
    <w:rsid w:val="0070436F"/>
    <w:rsid w:val="007078E8"/>
    <w:rsid w:val="00716FE8"/>
    <w:rsid w:val="00733CD0"/>
    <w:rsid w:val="0079334B"/>
    <w:rsid w:val="00794B1D"/>
    <w:rsid w:val="007C24B4"/>
    <w:rsid w:val="007C24BD"/>
    <w:rsid w:val="007D3416"/>
    <w:rsid w:val="007D3E3F"/>
    <w:rsid w:val="007E172D"/>
    <w:rsid w:val="007E799E"/>
    <w:rsid w:val="00802BFC"/>
    <w:rsid w:val="00803609"/>
    <w:rsid w:val="008349EB"/>
    <w:rsid w:val="00852E49"/>
    <w:rsid w:val="0087653B"/>
    <w:rsid w:val="008847CA"/>
    <w:rsid w:val="008A3D9F"/>
    <w:rsid w:val="008E35D1"/>
    <w:rsid w:val="00947FBD"/>
    <w:rsid w:val="00953FC4"/>
    <w:rsid w:val="00977818"/>
    <w:rsid w:val="0098642C"/>
    <w:rsid w:val="00986DB0"/>
    <w:rsid w:val="00991FC8"/>
    <w:rsid w:val="009A3C44"/>
    <w:rsid w:val="009B1F7A"/>
    <w:rsid w:val="009B5E74"/>
    <w:rsid w:val="009C43E8"/>
    <w:rsid w:val="009C787D"/>
    <w:rsid w:val="009D0265"/>
    <w:rsid w:val="009E1ECE"/>
    <w:rsid w:val="009E7088"/>
    <w:rsid w:val="009F1161"/>
    <w:rsid w:val="00A016F3"/>
    <w:rsid w:val="00A27474"/>
    <w:rsid w:val="00A34710"/>
    <w:rsid w:val="00A57CFD"/>
    <w:rsid w:val="00A6458E"/>
    <w:rsid w:val="00A8083A"/>
    <w:rsid w:val="00A81C2E"/>
    <w:rsid w:val="00AA4B32"/>
    <w:rsid w:val="00AB3E1B"/>
    <w:rsid w:val="00AC07C3"/>
    <w:rsid w:val="00AC1FB9"/>
    <w:rsid w:val="00AC7B13"/>
    <w:rsid w:val="00AD537E"/>
    <w:rsid w:val="00B0321D"/>
    <w:rsid w:val="00B42FA8"/>
    <w:rsid w:val="00B60FF8"/>
    <w:rsid w:val="00B810B4"/>
    <w:rsid w:val="00B948D6"/>
    <w:rsid w:val="00BB2849"/>
    <w:rsid w:val="00BB2C11"/>
    <w:rsid w:val="00BD4D1F"/>
    <w:rsid w:val="00BF4DCF"/>
    <w:rsid w:val="00C45175"/>
    <w:rsid w:val="00C6556C"/>
    <w:rsid w:val="00C71075"/>
    <w:rsid w:val="00C77DAA"/>
    <w:rsid w:val="00C87366"/>
    <w:rsid w:val="00CA2763"/>
    <w:rsid w:val="00CB23FF"/>
    <w:rsid w:val="00CB6296"/>
    <w:rsid w:val="00CD63C4"/>
    <w:rsid w:val="00CD6F31"/>
    <w:rsid w:val="00D16BD8"/>
    <w:rsid w:val="00D17C83"/>
    <w:rsid w:val="00D31B3A"/>
    <w:rsid w:val="00D67641"/>
    <w:rsid w:val="00D768D1"/>
    <w:rsid w:val="00D773CA"/>
    <w:rsid w:val="00DB6567"/>
    <w:rsid w:val="00DC3C4A"/>
    <w:rsid w:val="00DC6EE5"/>
    <w:rsid w:val="00DD29F1"/>
    <w:rsid w:val="00DF062D"/>
    <w:rsid w:val="00DF6C4F"/>
    <w:rsid w:val="00DF6E0F"/>
    <w:rsid w:val="00E05CAC"/>
    <w:rsid w:val="00E1021A"/>
    <w:rsid w:val="00E148F7"/>
    <w:rsid w:val="00E21D11"/>
    <w:rsid w:val="00E337D6"/>
    <w:rsid w:val="00E41CF9"/>
    <w:rsid w:val="00E43C66"/>
    <w:rsid w:val="00E96E68"/>
    <w:rsid w:val="00EB7201"/>
    <w:rsid w:val="00ED2C02"/>
    <w:rsid w:val="00ED2ECC"/>
    <w:rsid w:val="00EE7B31"/>
    <w:rsid w:val="00F052B0"/>
    <w:rsid w:val="00F10B7A"/>
    <w:rsid w:val="00F12F09"/>
    <w:rsid w:val="00F2134B"/>
    <w:rsid w:val="00F226E1"/>
    <w:rsid w:val="00F2295B"/>
    <w:rsid w:val="00F25570"/>
    <w:rsid w:val="00F4277E"/>
    <w:rsid w:val="00F5498D"/>
    <w:rsid w:val="00F80E7E"/>
    <w:rsid w:val="00F921E1"/>
    <w:rsid w:val="00F94FFC"/>
    <w:rsid w:val="00FA1492"/>
    <w:rsid w:val="00FB4A0A"/>
    <w:rsid w:val="00FD09AF"/>
    <w:rsid w:val="00FE73E7"/>
    <w:rsid w:val="00FF6BF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3C88"/>
  <w15:chartTrackingRefBased/>
  <w15:docId w15:val="{0BCE8A13-0631-4D6E-99D1-1178CE4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1449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HOUSSIN Annabelle</dc:creator>
  <cp:keywords/>
  <dc:description/>
  <cp:lastModifiedBy>RIDEL Alice</cp:lastModifiedBy>
  <cp:revision>10</cp:revision>
  <dcterms:created xsi:type="dcterms:W3CDTF">2023-01-09T15:59:00Z</dcterms:created>
  <dcterms:modified xsi:type="dcterms:W3CDTF">2023-01-17T09:49:00Z</dcterms:modified>
</cp:coreProperties>
</file>